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0" w:firstLine="0"/>
        <w:jc w:val="both"/>
        <w:rPr>
          <w:b/>
          <w:sz w:val="28"/>
        </w:rPr>
      </w:pPr>
      <w:r>
        <w:rPr>
          <w:b/>
          <w:sz w:val="28"/>
        </w:rPr>
        <w:t>Terminologie hypertexte :</w:t>
      </w:r>
    </w:p>
    <w:p>
      <w:pPr>
        <w:spacing w:before="1"/>
        <w:ind w:left="440" w:right="0" w:firstLine="0"/>
        <w:jc w:val="both"/>
        <w:rPr>
          <w:b/>
          <w:sz w:val="28"/>
        </w:rPr>
      </w:pPr>
      <w:r>
        <w:rPr>
          <w:b/>
          <w:sz w:val="28"/>
        </w:rPr>
        <w:t>dynamique temporelle d’une taxonomie</w:t>
      </w:r>
    </w:p>
    <w:p>
      <w:pPr>
        <w:pStyle w:val="BodyText"/>
        <w:rPr>
          <w:b/>
          <w:sz w:val="28"/>
        </w:rPr>
      </w:pPr>
    </w:p>
    <w:p>
      <w:pPr>
        <w:pStyle w:val="BodyText"/>
        <w:rPr>
          <w:b/>
          <w:sz w:val="28"/>
        </w:rPr>
      </w:pPr>
    </w:p>
    <w:p>
      <w:pPr>
        <w:pStyle w:val="BodyText"/>
        <w:spacing w:before="10"/>
        <w:rPr>
          <w:b/>
          <w:sz w:val="35"/>
        </w:rPr>
      </w:pPr>
    </w:p>
    <w:p>
      <w:pPr>
        <w:spacing w:before="1"/>
        <w:ind w:left="440" w:right="0" w:firstLine="0"/>
        <w:jc w:val="both"/>
        <w:rPr>
          <w:b/>
          <w:sz w:val="24"/>
        </w:rPr>
      </w:pPr>
      <w:r>
        <w:rPr>
          <w:b/>
          <w:sz w:val="24"/>
        </w:rPr>
        <w:t>Nathalie PINEDE</w:t>
      </w:r>
    </w:p>
    <w:p>
      <w:pPr>
        <w:spacing w:line="259" w:lineRule="auto" w:before="6"/>
        <w:ind w:left="440" w:right="1527" w:firstLine="0"/>
        <w:jc w:val="left"/>
        <w:rPr>
          <w:sz w:val="17"/>
        </w:rPr>
      </w:pPr>
      <w:r>
        <w:rPr>
          <w:w w:val="105"/>
          <w:sz w:val="17"/>
        </w:rPr>
        <w:t>Université de Bordeaux, MICA EA4426, MSHA, France Université de Bordeaux, IPB, IMS (UMR5218), Bordeaux, France</w:t>
      </w:r>
    </w:p>
    <w:p>
      <w:pPr>
        <w:pStyle w:val="BodyText"/>
        <w:spacing w:before="8"/>
        <w:rPr>
          <w:sz w:val="22"/>
        </w:rPr>
      </w:pPr>
    </w:p>
    <w:p>
      <w:pPr>
        <w:spacing w:before="1"/>
        <w:ind w:left="440" w:right="0" w:firstLine="0"/>
        <w:jc w:val="both"/>
        <w:rPr>
          <w:b/>
          <w:sz w:val="24"/>
        </w:rPr>
      </w:pPr>
      <w:r>
        <w:rPr>
          <w:b/>
          <w:sz w:val="24"/>
        </w:rPr>
        <w:t>David REYMOND</w:t>
      </w:r>
    </w:p>
    <w:p>
      <w:pPr>
        <w:spacing w:line="252" w:lineRule="auto" w:before="6"/>
        <w:ind w:left="440" w:right="958" w:firstLine="0"/>
        <w:jc w:val="left"/>
        <w:rPr>
          <w:sz w:val="17"/>
        </w:rPr>
      </w:pPr>
      <w:r>
        <w:rPr>
          <w:w w:val="105"/>
          <w:sz w:val="17"/>
        </w:rPr>
        <w:t>Université du Sud, Toulon-Var, I3M EA 3820, La Garde, France Université de Bordeaux, IPB, IMS (UMR5218), Bordeaux , France</w:t>
      </w:r>
    </w:p>
    <w:p>
      <w:pPr>
        <w:pStyle w:val="BodyText"/>
        <w:spacing w:before="8"/>
        <w:rPr>
          <w:sz w:val="23"/>
        </w:rPr>
      </w:pPr>
    </w:p>
    <w:p>
      <w:pPr>
        <w:spacing w:before="0"/>
        <w:ind w:left="440" w:right="0" w:firstLine="0"/>
        <w:jc w:val="both"/>
        <w:rPr>
          <w:b/>
          <w:sz w:val="24"/>
        </w:rPr>
      </w:pPr>
      <w:r>
        <w:rPr>
          <w:b/>
          <w:sz w:val="24"/>
        </w:rPr>
        <w:t>Benoit LE BLANC</w:t>
      </w:r>
    </w:p>
    <w:p>
      <w:pPr>
        <w:spacing w:line="252" w:lineRule="auto" w:before="6"/>
        <w:ind w:left="440" w:right="1527" w:firstLine="0"/>
        <w:jc w:val="left"/>
        <w:rPr>
          <w:sz w:val="17"/>
        </w:rPr>
      </w:pPr>
      <w:r>
        <w:rPr>
          <w:w w:val="105"/>
          <w:sz w:val="17"/>
        </w:rPr>
        <w:t>Université de Bordeaux, IPB, IMS (UMR5218), Bordeaux, France ISCC, CNRS, </w:t>
      </w:r>
      <w:r>
        <w:rPr>
          <w:color w:val="1C2427"/>
          <w:w w:val="105"/>
          <w:sz w:val="17"/>
        </w:rPr>
        <w:t>20 rue Berbier-du-Mets, Paris, France</w:t>
      </w:r>
    </w:p>
    <w:p>
      <w:pPr>
        <w:pStyle w:val="BodyText"/>
        <w:spacing w:before="8"/>
        <w:rPr>
          <w:sz w:val="23"/>
        </w:rPr>
      </w:pPr>
    </w:p>
    <w:p>
      <w:pPr>
        <w:spacing w:before="0"/>
        <w:ind w:left="440" w:right="0" w:firstLine="0"/>
        <w:jc w:val="both"/>
        <w:rPr>
          <w:b/>
          <w:sz w:val="24"/>
        </w:rPr>
      </w:pPr>
      <w:r>
        <w:rPr>
          <w:b/>
          <w:sz w:val="24"/>
        </w:rPr>
        <w:t>Véronique LESPINET-NAJIB</w:t>
      </w:r>
    </w:p>
    <w:p>
      <w:pPr>
        <w:spacing w:line="252" w:lineRule="auto" w:before="6"/>
        <w:ind w:left="440" w:right="489" w:firstLine="0"/>
        <w:jc w:val="left"/>
        <w:rPr>
          <w:sz w:val="17"/>
        </w:rPr>
      </w:pPr>
      <w:r>
        <w:rPr>
          <w:w w:val="105"/>
          <w:sz w:val="17"/>
        </w:rPr>
        <w:t>Université de Bordeaux, IPB, IMS (UMR5218), 146 rue Léo Saignat 33 076 Bordeaux Cedex</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6"/>
        </w:rPr>
      </w:pPr>
    </w:p>
    <w:p>
      <w:pPr>
        <w:pStyle w:val="BodyText"/>
        <w:spacing w:line="252" w:lineRule="auto"/>
        <w:ind w:left="440" w:right="443"/>
        <w:jc w:val="both"/>
      </w:pPr>
      <w:r>
        <w:rPr>
          <w:b/>
          <w:w w:val="105"/>
        </w:rPr>
        <w:t>Résumé : </w:t>
      </w:r>
      <w:r>
        <w:rPr>
          <w:w w:val="105"/>
        </w:rPr>
        <w:t>Dans la lignée de travaux précédemment réalisés, l’objectif de notre étude ici est de caractériser le contenu d’un site web</w:t>
      </w:r>
      <w:r>
        <w:rPr>
          <w:spacing w:val="49"/>
          <w:w w:val="105"/>
        </w:rPr>
        <w:t> </w:t>
      </w:r>
      <w:r>
        <w:rPr>
          <w:w w:val="105"/>
        </w:rPr>
        <w:t>organisationnel par les marqueurs lexicaux associés aux liens hypertextes de la page d’accueil (unités lexicales hypertextuelles – ULH). Nous nous sommes intéressés à un ensemble de sites web issus d’un domaine organisationnel homogène (i.e le domaine universitaire français), à partir duquel nous avons généré deux corpus d’ULH relevé à deux moments différents (2009 et 2011). Ces deux corpus d’ULH ont été intégrés au</w:t>
      </w:r>
      <w:r>
        <w:rPr>
          <w:spacing w:val="49"/>
          <w:w w:val="105"/>
        </w:rPr>
        <w:t> </w:t>
      </w:r>
      <w:r>
        <w:rPr>
          <w:w w:val="105"/>
        </w:rPr>
        <w:t>sein d’une taxonomie produite à partir des niveaux hiérarchiques et catégoriels des différents modes de navigation. S’appuyant sur un</w:t>
      </w:r>
      <w:r>
        <w:rPr>
          <w:spacing w:val="49"/>
          <w:w w:val="105"/>
        </w:rPr>
        <w:t> </w:t>
      </w:r>
      <w:r>
        <w:rPr>
          <w:w w:val="105"/>
        </w:rPr>
        <w:t>premier niveau d’analyse quantitative, l’intérêt est de mettre à jour, à travers cette dynamique temporelle, les évolutions au niveau des</w:t>
      </w:r>
      <w:r>
        <w:rPr>
          <w:spacing w:val="49"/>
          <w:w w:val="105"/>
        </w:rPr>
        <w:t> </w:t>
      </w:r>
      <w:r>
        <w:rPr>
          <w:w w:val="105"/>
        </w:rPr>
        <w:t>pratiques du web tout en faisant la preuve d’une stabilité certaine des corpus</w:t>
      </w:r>
      <w:r>
        <w:rPr>
          <w:spacing w:val="-4"/>
          <w:w w:val="105"/>
        </w:rPr>
        <w:t> </w:t>
      </w:r>
      <w:r>
        <w:rPr>
          <w:w w:val="105"/>
        </w:rPr>
        <w:t>d’ULH.</w:t>
      </w:r>
    </w:p>
    <w:p>
      <w:pPr>
        <w:pStyle w:val="BodyText"/>
        <w:spacing w:before="1"/>
        <w:rPr>
          <w:sz w:val="20"/>
        </w:rPr>
      </w:pPr>
    </w:p>
    <w:p>
      <w:pPr>
        <w:pStyle w:val="BodyText"/>
        <w:spacing w:line="254" w:lineRule="auto"/>
        <w:ind w:left="440" w:right="958"/>
      </w:pPr>
      <w:r>
        <w:rPr>
          <w:b/>
          <w:w w:val="105"/>
        </w:rPr>
        <w:t>Mots-clés : </w:t>
      </w:r>
      <w:r>
        <w:rPr>
          <w:w w:val="105"/>
        </w:rPr>
        <w:t>Unités Lexicales Hypertextes, approche diachronique, taxonomie, site web organisationnel.</w:t>
      </w:r>
    </w:p>
    <w:p>
      <w:pPr>
        <w:spacing w:after="0" w:line="254" w:lineRule="auto"/>
        <w:sectPr>
          <w:footerReference w:type="default" r:id="rId5"/>
          <w:footerReference w:type="even" r:id="rId6"/>
          <w:type w:val="continuous"/>
          <w:pgSz w:w="9080" w:h="13610"/>
          <w:pgMar w:footer="966" w:top="1280" w:bottom="1160" w:left="1260" w:right="1260"/>
          <w:pgNumType w:start="135"/>
        </w:sectPr>
      </w:pPr>
    </w:p>
    <w:p>
      <w:pPr>
        <w:pStyle w:val="BodyText"/>
        <w:rPr>
          <w:sz w:val="20"/>
        </w:rPr>
      </w:pPr>
    </w:p>
    <w:p>
      <w:pPr>
        <w:pStyle w:val="BodyText"/>
        <w:rPr>
          <w:sz w:val="20"/>
        </w:rPr>
      </w:pPr>
    </w:p>
    <w:p>
      <w:pPr>
        <w:pStyle w:val="BodyText"/>
        <w:spacing w:before="7"/>
        <w:rPr>
          <w:sz w:val="20"/>
        </w:rPr>
      </w:pPr>
    </w:p>
    <w:p>
      <w:pPr>
        <w:pStyle w:val="Heading1"/>
        <w:numPr>
          <w:ilvl w:val="0"/>
          <w:numId w:val="1"/>
        </w:numPr>
        <w:tabs>
          <w:tab w:pos="673" w:val="left" w:leader="none"/>
        </w:tabs>
        <w:spacing w:line="240" w:lineRule="auto" w:before="0" w:after="0"/>
        <w:ind w:left="672" w:right="0" w:hanging="232"/>
        <w:jc w:val="both"/>
      </w:pPr>
      <w:r>
        <w:rPr>
          <w:w w:val="105"/>
        </w:rPr>
        <w:t>Introduction</w:t>
      </w:r>
    </w:p>
    <w:p>
      <w:pPr>
        <w:pStyle w:val="BodyText"/>
        <w:spacing w:before="1"/>
        <w:rPr>
          <w:b/>
          <w:sz w:val="21"/>
        </w:rPr>
      </w:pPr>
    </w:p>
    <w:p>
      <w:pPr>
        <w:pStyle w:val="BodyText"/>
        <w:spacing w:line="252" w:lineRule="auto"/>
        <w:ind w:left="440" w:right="441"/>
        <w:jc w:val="both"/>
      </w:pPr>
      <w:r>
        <w:rPr>
          <w:w w:val="105"/>
        </w:rPr>
        <w:t>La notion de « site web » s’impose comme une manifestation emblématique des contenus architecturés du Web, mais elle dissimule aussi une réalité multidimensionnelle qui fonde sa nature complexe. Parmi les différentes facettes qui peuvent contribuer à son approche, nous retiendrons le site web en tant que ressource relevant de</w:t>
      </w:r>
      <w:r>
        <w:rPr>
          <w:spacing w:val="49"/>
          <w:w w:val="105"/>
        </w:rPr>
        <w:t> </w:t>
      </w:r>
      <w:r>
        <w:rPr>
          <w:w w:val="105"/>
        </w:rPr>
        <w:t>l’appellation générique « document numérique » (Leleu-Merviel, 2004).   Sa caractérisation en tant que document numérique permet de l’envisager notamment au plan informationnel, selon une approche originale. En effet, nombre de travaux menés autour d’une analyse des contenus de sites web opèrent soit selon une perspective qualitative (évaluation ergonomique d’interfaces, étude d’ordre sémiotique), soit selon une perspective orientée statistico-sémantique à partir du contenu intégral de documents textuels. Notre hypothèse ici est de nous appuyer sur un niveau d’organisation des connaissances déjà réalisé sur le site, à savoir</w:t>
      </w:r>
      <w:r>
        <w:rPr>
          <w:spacing w:val="49"/>
          <w:w w:val="105"/>
        </w:rPr>
        <w:t> </w:t>
      </w:r>
      <w:r>
        <w:rPr>
          <w:w w:val="105"/>
        </w:rPr>
        <w:t>les liens hypertextes des pages d’accueil des sites web, liens hypertextes considérés dès lors comme les entrées d’un sommaire donnant accès aux contenus internes du site. Un travail de recensement automatique de ces liens hypertextes et de classification des unités lexicales associées permet ensuite de disposer d’une taxonomie à partir de laquelle un certain nombre d’éléments d’analyse et d’applications potentielles peuvent être réalisés.</w:t>
      </w:r>
    </w:p>
    <w:p>
      <w:pPr>
        <w:pStyle w:val="BodyText"/>
        <w:spacing w:line="252" w:lineRule="auto"/>
        <w:ind w:left="440" w:right="442"/>
        <w:jc w:val="both"/>
      </w:pPr>
      <w:r>
        <w:rPr>
          <w:w w:val="105"/>
        </w:rPr>
        <w:t>Nos travaux</w:t>
      </w:r>
      <w:r>
        <w:rPr>
          <w:w w:val="105"/>
          <w:position w:val="5"/>
          <w:sz w:val="13"/>
        </w:rPr>
        <w:t>22 </w:t>
      </w:r>
      <w:r>
        <w:rPr>
          <w:w w:val="105"/>
        </w:rPr>
        <w:t>ont déjà amené des résultats intéressants. Constituée à partir d’un corpus réduit, la stabilité et la fiabilité de la taxonomie ainsi obtenue ont pu être vérifiées grâce à son pouvoir de recouvrement sur d’autres sites web du même domaine (Reymond </w:t>
      </w:r>
      <w:r>
        <w:rPr>
          <w:i/>
          <w:w w:val="105"/>
        </w:rPr>
        <w:t>et al., </w:t>
      </w:r>
      <w:r>
        <w:rPr>
          <w:w w:val="105"/>
        </w:rPr>
        <w:t>2011). D’autre</w:t>
      </w:r>
      <w:r>
        <w:rPr>
          <w:spacing w:val="49"/>
          <w:w w:val="105"/>
        </w:rPr>
        <w:t> </w:t>
      </w:r>
      <w:r>
        <w:rPr>
          <w:w w:val="105"/>
        </w:rPr>
        <w:t>part, deux pistes d’exploration sont en cours : générer des profils informationnels de sites web, sur la base des occurrences dans la taxonomie, à partir des dominantes thématiques qui émergent (notamment au plan des activités organisationnelles) ; permettre la reconnaissance et le classement automatique de</w:t>
      </w:r>
      <w:r>
        <w:rPr>
          <w:spacing w:val="-21"/>
          <w:w w:val="105"/>
        </w:rPr>
        <w:t> </w:t>
      </w:r>
      <w:r>
        <w:rPr>
          <w:w w:val="105"/>
        </w:rPr>
        <w:t>sites</w:t>
      </w:r>
      <w:r>
        <w:rPr>
          <w:w w:val="105"/>
          <w:position w:val="5"/>
          <w:sz w:val="13"/>
        </w:rPr>
        <w:t>23</w:t>
      </w:r>
      <w:r>
        <w:rPr>
          <w:w w:val="105"/>
        </w:rPr>
        <w:t>.</w:t>
      </w:r>
    </w:p>
    <w:p>
      <w:pPr>
        <w:pStyle w:val="BodyText"/>
        <w:spacing w:line="252" w:lineRule="auto" w:before="1"/>
        <w:ind w:left="440" w:right="441"/>
        <w:jc w:val="both"/>
      </w:pPr>
      <w:r>
        <w:rPr>
          <w:w w:val="105"/>
        </w:rPr>
        <w:t>Si notre postulat de départ reste identique (i.e. caractériser le contenu</w:t>
      </w:r>
      <w:r>
        <w:rPr>
          <w:spacing w:val="49"/>
          <w:w w:val="105"/>
        </w:rPr>
        <w:t> </w:t>
      </w:r>
      <w:r>
        <w:rPr>
          <w:w w:val="105"/>
        </w:rPr>
        <w:t>d’un site web par les marqueurs lexicaux associés aux liens hypertextes   de sa page d’accueil), notre positionnement ici est différent. En effet</w:t>
      </w:r>
      <w:r>
        <w:rPr>
          <w:spacing w:val="49"/>
          <w:w w:val="105"/>
        </w:rPr>
        <w:t> </w:t>
      </w:r>
      <w:r>
        <w:rPr>
          <w:w w:val="105"/>
        </w:rPr>
        <w:t>alors que jusqu’à présent, nous avions mené nos analyses dans une perspective synchronique, à un instant t, nous nous positionnons ici dans une perspective diachronique pour tenter de mettre en lumière des éléments significatifs d’évolution. Comment évoluent ces marqueurs lexicaux   dans   le   temps ?   Quels   enseignements   peut-on   tirer </w:t>
      </w:r>
      <w:r>
        <w:rPr>
          <w:spacing w:val="29"/>
          <w:w w:val="105"/>
        </w:rPr>
        <w:t> </w:t>
      </w:r>
      <w:r>
        <w:rPr>
          <w:w w:val="105"/>
        </w:rPr>
        <w:t>des</w:t>
      </w:r>
    </w:p>
    <w:p>
      <w:pPr>
        <w:pStyle w:val="BodyText"/>
        <w:spacing w:before="8"/>
        <w:rPr>
          <w:sz w:val="10"/>
        </w:rPr>
      </w:pPr>
      <w:r>
        <w:rPr/>
        <w:pict>
          <v:line style="position:absolute;mso-position-horizontal-relative:page;mso-position-vertical-relative:paragraph;z-index:0;mso-wrap-distance-left:0;mso-wrap-distance-right:0" from="85.039368pt,8.245379pt" to="229.039368pt,8.245379pt" stroked="true" strokeweight=".479996pt" strokecolor="#000000">
            <w10:wrap type="topAndBottom"/>
          </v:line>
        </w:pict>
      </w:r>
    </w:p>
    <w:p>
      <w:pPr>
        <w:spacing w:line="240" w:lineRule="auto" w:before="82"/>
        <w:ind w:left="440" w:right="441" w:firstLine="0"/>
        <w:jc w:val="both"/>
        <w:rPr>
          <w:rFonts w:ascii="Times New Roman" w:hAnsi="Times New Roman"/>
          <w:sz w:val="16"/>
        </w:rPr>
      </w:pPr>
      <w:r>
        <w:rPr>
          <w:position w:val="4"/>
          <w:sz w:val="9"/>
        </w:rPr>
        <w:t>22 </w:t>
      </w:r>
      <w:r>
        <w:rPr>
          <w:sz w:val="16"/>
        </w:rPr>
        <w:t>Menés dans le cadre du programme RAUDIN (Recherches aquitaines sur les usages pour le développement des dispositifs numériques) à f</w:t>
      </w:r>
      <w:r>
        <w:rPr>
          <w:rFonts w:ascii="Times New Roman" w:hAnsi="Times New Roman"/>
          <w:sz w:val="16"/>
        </w:rPr>
        <w:t>inancement Feder n°31462, Conseil Régional Aquitaine et Université Bordeaux 3</w:t>
      </w:r>
    </w:p>
    <w:p>
      <w:pPr>
        <w:spacing w:line="237" w:lineRule="auto" w:before="1"/>
        <w:ind w:left="440" w:right="444" w:firstLine="0"/>
        <w:jc w:val="both"/>
        <w:rPr>
          <w:sz w:val="16"/>
        </w:rPr>
      </w:pPr>
      <w:r>
        <w:rPr>
          <w:position w:val="4"/>
          <w:sz w:val="9"/>
        </w:rPr>
        <w:t>23 </w:t>
      </w:r>
      <w:r>
        <w:rPr>
          <w:sz w:val="16"/>
        </w:rPr>
        <w:t>Ces enjeux et perspectives sont synthétisés dans une communication présentée aux journées d’études TICIS 2010.</w:t>
      </w:r>
    </w:p>
    <w:p>
      <w:pPr>
        <w:spacing w:after="0" w:line="237" w:lineRule="auto"/>
        <w:jc w:val="both"/>
        <w:rPr>
          <w:sz w:val="16"/>
        </w:rPr>
        <w:sectPr>
          <w:headerReference w:type="even" r:id="rId7"/>
          <w:headerReference w:type="default" r:id="rId8"/>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89"/>
      </w:pPr>
      <w:r>
        <w:rPr>
          <w:w w:val="105"/>
        </w:rPr>
        <w:t>modifications notoires observées, au plan des pratiques du web mais</w:t>
      </w:r>
      <w:r>
        <w:rPr>
          <w:spacing w:val="49"/>
          <w:w w:val="105"/>
        </w:rPr>
        <w:t> </w:t>
      </w:r>
      <w:r>
        <w:rPr>
          <w:w w:val="105"/>
        </w:rPr>
        <w:t>aussi de la dynamique organisationnelle</w:t>
      </w:r>
      <w:r>
        <w:rPr>
          <w:spacing w:val="-13"/>
          <w:w w:val="105"/>
        </w:rPr>
        <w:t> </w:t>
      </w:r>
      <w:r>
        <w:rPr>
          <w:w w:val="105"/>
        </w:rPr>
        <w:t>?</w:t>
      </w:r>
    </w:p>
    <w:p>
      <w:pPr>
        <w:pStyle w:val="BodyText"/>
        <w:tabs>
          <w:tab w:pos="1686" w:val="left" w:leader="none"/>
          <w:tab w:pos="2234" w:val="left" w:leader="none"/>
          <w:tab w:pos="3721" w:val="left" w:leader="none"/>
          <w:tab w:pos="4882" w:val="left" w:leader="none"/>
          <w:tab w:pos="5297" w:val="left" w:leader="none"/>
        </w:tabs>
        <w:spacing w:line="252" w:lineRule="auto"/>
        <w:ind w:left="440" w:right="440"/>
      </w:pPr>
      <w:r>
        <w:rPr>
          <w:w w:val="105"/>
        </w:rPr>
        <w:t>Les unités lexicales hypertextes (ULH) des pages d’accueil peuvent être assimilées à des fragments informationnels qualifiant les contenus internes du site. A ce titre, elles représentent non seulement les activités phare mais aussi des informations d’ordre structurel ou en prise avec l’actualité et la vie de l’organisation ; elles donnent également accès à des fonctionnalités rendues possibles par le média web (outils logiciels, flux RSS, etc.). Elles donnent donc à voir une certaine image de l’organisation et incarnent de fait une mémoire intéressante, signifiante et significative, des changements d’une structure, de ses choix, de ses représentations, de l’intégration de problématiques telles celle de l’accessibilité, ainsi que des phénomènes de lissage et normalisation terminologiques qui peuvent s’effectuer dans le temps (Rouquette, 2009). Dans une perspective plus opérationnelle, les analyses extraites, aux plans qualitatif et quantitatif, peuvent générer des préconisations en matière de qualification de l’information sur le web, en s’appuyant sur des pratiques consensuelles. Partant d’un corpus unique de sites web, nous avons donc analysé l’évolution de ces marqueurs lexicaux à deux années d’intervalle</w:t>
      </w:r>
      <w:r>
        <w:rPr>
          <w:w w:val="105"/>
          <w:position w:val="5"/>
          <w:sz w:val="13"/>
        </w:rPr>
        <w:t>24</w:t>
      </w:r>
      <w:r>
        <w:rPr>
          <w:w w:val="105"/>
        </w:rPr>
        <w:t>. Les premiers éléments de cette étude comparée que nous présentons ici sont essentiellement d’ordre quantitatif, pour tenter de qualifier les évolutions globales au plan des corpus</w:t>
      </w:r>
      <w:r>
        <w:rPr>
          <w:w w:val="105"/>
          <w:position w:val="5"/>
          <w:sz w:val="13"/>
        </w:rPr>
        <w:t>25</w:t>
      </w:r>
      <w:r>
        <w:rPr>
          <w:w w:val="105"/>
        </w:rPr>
        <w:t>. Dans ce texte, nous développerons tout d’abord les arguments clefs de notre problématique, à savoir</w:t>
      </w:r>
      <w:r>
        <w:rPr>
          <w:spacing w:val="49"/>
          <w:w w:val="105"/>
        </w:rPr>
        <w:t> </w:t>
      </w:r>
      <w:r>
        <w:rPr>
          <w:w w:val="105"/>
        </w:rPr>
        <w:t>l’articulation</w:t>
        <w:tab/>
        <w:t>site</w:t>
        <w:tab/>
        <w:t>web/document</w:t>
        <w:tab/>
        <w:t>numérique,</w:t>
        <w:tab/>
        <w:t>la</w:t>
        <w:tab/>
        <w:t>dimension organisationnelle pour le site web, le rôle déterminant de la page</w:t>
      </w:r>
      <w:r>
        <w:rPr>
          <w:spacing w:val="49"/>
          <w:w w:val="105"/>
        </w:rPr>
        <w:t> </w:t>
      </w:r>
      <w:r>
        <w:rPr>
          <w:w w:val="105"/>
        </w:rPr>
        <w:t>d’accueil et des ULH en tant que représentations informationnelles signifiantes de l’ensemble des contenus du site. Dans un deuxième  temps, nous expliciterons le principe d’organisation de nos ULH en taxonomie, en nous appuyant sur une catégorisation en fonction des types de navigation. Ensuite, nous présenterons nos deux terrains d’investigation, choisis dans le domaine organisationnel des universités. Une université en sciences sociales et une université en sciences ont été sélectionnées pour constituer notre corpus d’ULH sur deux temporalités distinctes, 2009 et 2011. A partir de ce premier niveau d’analyse diachronique, la comparaison quantitative de nos corpus</w:t>
      </w:r>
      <w:r>
        <w:rPr>
          <w:spacing w:val="49"/>
          <w:w w:val="105"/>
        </w:rPr>
        <w:t> </w:t>
      </w:r>
      <w:r>
        <w:rPr>
          <w:w w:val="105"/>
        </w:rPr>
        <w:t>d’ULH permettra de dégager des éléments génériques intéressants, qui seront à affiner ultérieurement par l’auscultation de la dynamique des formes et   de la sémantique des</w:t>
      </w:r>
      <w:r>
        <w:rPr>
          <w:spacing w:val="-8"/>
          <w:w w:val="105"/>
        </w:rPr>
        <w:t> </w:t>
      </w:r>
      <w:r>
        <w:rPr>
          <w:w w:val="105"/>
        </w:rPr>
        <w:t>ULH.</w:t>
      </w:r>
    </w:p>
    <w:p>
      <w:pPr>
        <w:pStyle w:val="BodyText"/>
        <w:rPr>
          <w:sz w:val="20"/>
        </w:rPr>
      </w:pPr>
    </w:p>
    <w:p>
      <w:pPr>
        <w:pStyle w:val="BodyText"/>
        <w:rPr>
          <w:sz w:val="20"/>
        </w:rPr>
      </w:pPr>
    </w:p>
    <w:p>
      <w:pPr>
        <w:pStyle w:val="BodyText"/>
        <w:rPr>
          <w:sz w:val="20"/>
        </w:rPr>
      </w:pPr>
    </w:p>
    <w:p>
      <w:pPr>
        <w:pStyle w:val="BodyText"/>
        <w:spacing w:before="9"/>
      </w:pPr>
      <w:r>
        <w:rPr/>
        <w:pict>
          <v:line style="position:absolute;mso-position-horizontal-relative:page;mso-position-vertical-relative:paragraph;z-index:1048;mso-wrap-distance-left:0;mso-wrap-distance-right:0" from="85.039368pt,13.375382pt" to="229.039368pt,13.375382pt" stroked="true" strokeweight=".480003pt" strokecolor="#000000">
            <w10:wrap type="topAndBottom"/>
          </v:line>
        </w:pict>
      </w:r>
    </w:p>
    <w:p>
      <w:pPr>
        <w:spacing w:line="178" w:lineRule="exact" w:before="78"/>
        <w:ind w:left="440" w:right="489" w:firstLine="0"/>
        <w:jc w:val="left"/>
        <w:rPr>
          <w:sz w:val="16"/>
        </w:rPr>
      </w:pPr>
      <w:r>
        <w:rPr>
          <w:position w:val="4"/>
          <w:sz w:val="9"/>
        </w:rPr>
        <w:t>24 </w:t>
      </w:r>
      <w:r>
        <w:rPr>
          <w:sz w:val="16"/>
        </w:rPr>
        <w:t>Cet intervalle de temps permet de faire émerger des tendances, à confirmer par l’analyse du même corpus à t+2.</w:t>
      </w:r>
    </w:p>
    <w:p>
      <w:pPr>
        <w:spacing w:before="18"/>
        <w:ind w:left="440" w:right="489" w:firstLine="0"/>
        <w:jc w:val="left"/>
        <w:rPr>
          <w:sz w:val="16"/>
        </w:rPr>
      </w:pPr>
      <w:r>
        <w:rPr>
          <w:position w:val="5"/>
          <w:sz w:val="13"/>
        </w:rPr>
        <w:t>25 </w:t>
      </w:r>
      <w:r>
        <w:rPr>
          <w:sz w:val="16"/>
        </w:rPr>
        <w:t>Une approche plus fine des évolutions terminologiques est actuellement en cours.</w:t>
      </w:r>
    </w:p>
    <w:p>
      <w:pPr>
        <w:spacing w:after="0"/>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0"/>
          <w:numId w:val="1"/>
        </w:numPr>
        <w:tabs>
          <w:tab w:pos="687" w:val="left" w:leader="none"/>
        </w:tabs>
        <w:spacing w:line="240" w:lineRule="auto" w:before="0" w:after="0"/>
        <w:ind w:left="686" w:right="0" w:hanging="246"/>
        <w:jc w:val="both"/>
      </w:pPr>
      <w:r>
        <w:rPr>
          <w:w w:val="105"/>
        </w:rPr>
        <w:t>Problématique</w:t>
      </w:r>
    </w:p>
    <w:p>
      <w:pPr>
        <w:pStyle w:val="BodyText"/>
        <w:spacing w:before="1"/>
        <w:rPr>
          <w:b/>
          <w:sz w:val="21"/>
        </w:rPr>
      </w:pPr>
    </w:p>
    <w:p>
      <w:pPr>
        <w:pStyle w:val="ListParagraph"/>
        <w:numPr>
          <w:ilvl w:val="1"/>
          <w:numId w:val="1"/>
        </w:numPr>
        <w:tabs>
          <w:tab w:pos="768" w:val="left" w:leader="none"/>
        </w:tabs>
        <w:spacing w:line="240" w:lineRule="auto" w:before="0" w:after="0"/>
        <w:ind w:left="440" w:right="0" w:firstLine="0"/>
        <w:jc w:val="both"/>
        <w:rPr>
          <w:b/>
          <w:sz w:val="19"/>
        </w:rPr>
      </w:pPr>
      <w:r>
        <w:rPr>
          <w:b/>
          <w:w w:val="105"/>
          <w:sz w:val="19"/>
        </w:rPr>
        <w:t>Du site web au document</w:t>
      </w:r>
      <w:r>
        <w:rPr>
          <w:b/>
          <w:spacing w:val="-10"/>
          <w:w w:val="105"/>
          <w:sz w:val="19"/>
        </w:rPr>
        <w:t> </w:t>
      </w:r>
      <w:r>
        <w:rPr>
          <w:b/>
          <w:w w:val="105"/>
          <w:sz w:val="19"/>
        </w:rPr>
        <w:t>numérique</w:t>
      </w:r>
    </w:p>
    <w:p>
      <w:pPr>
        <w:pStyle w:val="BodyText"/>
        <w:spacing w:line="254" w:lineRule="auto" w:before="12"/>
        <w:ind w:left="440" w:right="442"/>
        <w:jc w:val="both"/>
      </w:pPr>
      <w:r>
        <w:rPr>
          <w:w w:val="105"/>
        </w:rPr>
        <w:t>Le terme de « site web » renvoie naturellement à un carrefour de pages et d’hyperliens, participant à la définition de territoires numériques (Musso, 2009). Mais au-delà de cette première approche, plusieurs déclinaisons peuvent être mises en avant pour tenter de définir un site web.</w:t>
      </w:r>
    </w:p>
    <w:p>
      <w:pPr>
        <w:pStyle w:val="BodyText"/>
        <w:spacing w:line="254" w:lineRule="auto"/>
        <w:ind w:left="440" w:right="442"/>
        <w:jc w:val="both"/>
      </w:pPr>
      <w:r>
        <w:rPr>
          <w:w w:val="105"/>
        </w:rPr>
        <w:t>Tout d’abord on retiendra au premier chef celle d’un dispositif technique s’appuyant sur un serveur informatique et identifié par un nom de domaine de type DNS (Domain Name Server), réalité technique pouvant être rapprochée des contours et limites d’une organisation</w:t>
      </w:r>
      <w:r>
        <w:rPr>
          <w:w w:val="105"/>
          <w:position w:val="5"/>
          <w:sz w:val="13"/>
        </w:rPr>
        <w:t>26</w:t>
      </w:r>
      <w:r>
        <w:rPr>
          <w:w w:val="105"/>
        </w:rPr>
        <w:t>.</w:t>
      </w:r>
    </w:p>
    <w:p>
      <w:pPr>
        <w:pStyle w:val="BodyText"/>
        <w:spacing w:line="252" w:lineRule="auto"/>
        <w:ind w:left="440" w:right="441"/>
        <w:jc w:val="both"/>
      </w:pPr>
      <w:r>
        <w:rPr>
          <w:w w:val="105"/>
        </w:rPr>
        <w:t>Au-delà de cette définition du site web par la mobilisation de ressources informatiques et protocoles techniques d’échanges de données (image du site web peu accessible à l’usager), le site web se donne à voir à travers son contenu. Stockinger définit le site web comme « lieu de prestations, lieu de services à destination d’un certain public » (Stockinger, 2005). Les sites web organisent de façon plus ou moins sophistiquée, diversifiée, cohérente et exhaustive, des ressources de nature informationnelle à destination de certaines catégories d’usagers-internautes. Ils sont dès lors des produits d’information éditée, renvoyant à une responsabilité éditoriale identifiée.</w:t>
      </w:r>
    </w:p>
    <w:p>
      <w:pPr>
        <w:pStyle w:val="BodyText"/>
        <w:spacing w:line="252" w:lineRule="auto" w:before="1"/>
        <w:ind w:left="440" w:right="441"/>
        <w:jc w:val="both"/>
      </w:pPr>
      <w:r>
        <w:rPr>
          <w:w w:val="105"/>
        </w:rPr>
        <w:t>Le site web peut également être appréhendé comme un dispositif communicationnel « qui définit des rapports énonciatifs, attribue des rôles, inscrit des marques pour l’interprétation, à ceci près qu’il renvoie à un espace de communication dit « planétaire », en fait assez indéterminé sur le plan culturel et social » (Souchier et al., 2003). Il s’inscrit dès lors dans une tension entre intentionnalité(s) et usage(s), incluant les contraintes inhérentes au dispositif technique sollicité. Dans cette articulation d’éléments, l’intention (de communication, de proposition de services) se traduit par la production d’un site web au service d’une stratégie à destination de publics supposés.</w:t>
      </w:r>
    </w:p>
    <w:p>
      <w:pPr>
        <w:pStyle w:val="BodyText"/>
        <w:spacing w:line="252" w:lineRule="auto"/>
        <w:ind w:left="440" w:right="441"/>
        <w:jc w:val="both"/>
      </w:pPr>
      <w:r>
        <w:rPr>
          <w:w w:val="105"/>
        </w:rPr>
        <w:t>Enfin, le site achève de prendre sens dans cet espace web à travers le réseau d’hyperliens qui le jalonnent et qui guident l’action des usagers</w:t>
      </w:r>
      <w:r>
        <w:rPr>
          <w:spacing w:val="49"/>
          <w:w w:val="105"/>
        </w:rPr>
        <w:t> </w:t>
      </w:r>
      <w:r>
        <w:rPr>
          <w:w w:val="105"/>
        </w:rPr>
        <w:t>tout en leur autorisant de multiples parcours, dans un paradoxe permanent entre clôture et évasion. Le site web peut ainsi être assimilé à un document numérique dynamique inscrit dans un espace topologique hypertextuel (Leleu-Merviel, 2004). On peut aussi adhérer aux propositions du collectif R.T. Pédauque selon lequel le document numérique s’articule autour de la tridimensionnalité Forme-Texte- Medium et possède les propriétés de mémorisation, organisation,</w:t>
      </w:r>
      <w:r>
        <w:rPr>
          <w:spacing w:val="49"/>
          <w:w w:val="105"/>
        </w:rPr>
        <w:t> </w:t>
      </w:r>
      <w:r>
        <w:rPr>
          <w:w w:val="105"/>
        </w:rPr>
        <w:t>création et transmission, propriétés dont nous nous inspirons pour bâtir notre argumentation</w:t>
      </w:r>
      <w:r>
        <w:rPr>
          <w:spacing w:val="-4"/>
          <w:w w:val="105"/>
        </w:rPr>
        <w:t> </w:t>
      </w:r>
      <w:r>
        <w:rPr>
          <w:w w:val="105"/>
        </w:rPr>
        <w:t>présente.</w:t>
      </w:r>
    </w:p>
    <w:p>
      <w:pPr>
        <w:pStyle w:val="BodyText"/>
        <w:spacing w:before="1"/>
        <w:rPr>
          <w:sz w:val="20"/>
        </w:rPr>
      </w:pPr>
      <w:r>
        <w:rPr/>
        <w:pict>
          <v:line style="position:absolute;mso-position-horizontal-relative:page;mso-position-vertical-relative:paragraph;z-index:1072;mso-wrap-distance-left:0;mso-wrap-distance-right:0" from="85.039368pt,13.525377pt" to="229.039368pt,13.525377pt" stroked="true" strokeweight=".480003pt" strokecolor="#000000">
            <w10:wrap type="topAndBottom"/>
          </v:line>
        </w:pict>
      </w:r>
    </w:p>
    <w:p>
      <w:pPr>
        <w:spacing w:line="178" w:lineRule="exact" w:before="78"/>
        <w:ind w:left="440" w:right="958" w:firstLine="0"/>
        <w:jc w:val="left"/>
        <w:rPr>
          <w:sz w:val="16"/>
        </w:rPr>
      </w:pPr>
      <w:r>
        <w:rPr>
          <w:position w:val="4"/>
          <w:sz w:val="9"/>
        </w:rPr>
        <w:t>26 </w:t>
      </w:r>
      <w:r>
        <w:rPr>
          <w:sz w:val="16"/>
        </w:rPr>
        <w:t>Nous verrons toutefois, à partir des sites de notre corpus, que cette proximité DNS/organisation n’est pas si évidente que cela en pratique.</w:t>
      </w:r>
    </w:p>
    <w:p>
      <w:pPr>
        <w:spacing w:after="0" w:line="178" w:lineRule="exact"/>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1"/>
          <w:numId w:val="1"/>
        </w:numPr>
        <w:tabs>
          <w:tab w:pos="833" w:val="left" w:leader="none"/>
        </w:tabs>
        <w:spacing w:line="240" w:lineRule="auto" w:before="0" w:after="0"/>
        <w:ind w:left="832" w:right="0" w:hanging="392"/>
        <w:jc w:val="both"/>
      </w:pPr>
      <w:r>
        <w:rPr>
          <w:w w:val="105"/>
        </w:rPr>
        <w:t>Site web</w:t>
      </w:r>
      <w:r>
        <w:rPr>
          <w:spacing w:val="-8"/>
          <w:w w:val="105"/>
        </w:rPr>
        <w:t> </w:t>
      </w:r>
      <w:r>
        <w:rPr>
          <w:w w:val="105"/>
        </w:rPr>
        <w:t>organisationnel</w:t>
      </w:r>
    </w:p>
    <w:p>
      <w:pPr>
        <w:pStyle w:val="BodyText"/>
        <w:spacing w:line="252" w:lineRule="auto" w:before="12"/>
        <w:ind w:left="440" w:right="441"/>
        <w:jc w:val="both"/>
      </w:pPr>
      <w:r>
        <w:rPr>
          <w:w w:val="105"/>
        </w:rPr>
        <w:t>Ces dimensions multiples (et non exhaustives) des sites web génèrent de nombreuses possibilités d’approche et d’analyse. Il est toutefois difficile d’appréhender ces sites dans leur globalité, tant est grande l’hétérogénéité des formes, des contextes de production, des intentionnalités de communication, ou encore des données informationnelles. Dans  l’optique de traiter, notamment au plan quantitatif, voire automatique, des ensembles de sites, il paraît indispensable de repérer des cohérences</w:t>
      </w:r>
      <w:r>
        <w:rPr>
          <w:spacing w:val="49"/>
          <w:w w:val="105"/>
        </w:rPr>
        <w:t> </w:t>
      </w:r>
      <w:r>
        <w:rPr>
          <w:w w:val="105"/>
        </w:rPr>
        <w:t>et régularités parmi les différents sites</w:t>
      </w:r>
      <w:r>
        <w:rPr>
          <w:spacing w:val="-10"/>
          <w:w w:val="105"/>
        </w:rPr>
        <w:t> </w:t>
      </w:r>
      <w:r>
        <w:rPr>
          <w:w w:val="105"/>
        </w:rPr>
        <w:t>web.</w:t>
      </w:r>
    </w:p>
    <w:p>
      <w:pPr>
        <w:pStyle w:val="BodyText"/>
        <w:spacing w:line="252" w:lineRule="auto" w:before="1"/>
        <w:ind w:left="440" w:right="440"/>
        <w:jc w:val="both"/>
      </w:pPr>
      <w:r>
        <w:rPr>
          <w:w w:val="105"/>
        </w:rPr>
        <w:t>Là encore, plusieurs angles de lectures peuvent être choisis. Stockinger propose une typologie des sites sur la base de leurs caractéristiques les plus saillantes : sites personnels « simples », sites d’information, sites d’accès à des ressources (sites portails), sites fac-simile ou dématérialisés de services organisationnels, sites à thème (Stockinger, 2005). On peut bien entendu regrouper les sites selon d’autres perspectives : par secteurs d’activité, selon la finalité, etc.</w:t>
      </w:r>
    </w:p>
    <w:p>
      <w:pPr>
        <w:pStyle w:val="BodyText"/>
        <w:spacing w:line="252" w:lineRule="auto" w:before="1"/>
        <w:ind w:left="440" w:right="442"/>
        <w:jc w:val="both"/>
      </w:pPr>
      <w:r>
        <w:rPr>
          <w:w w:val="105"/>
        </w:rPr>
        <w:t>En ce qui nous concerne et par rapport à nos objectifs de recherche,</w:t>
      </w:r>
      <w:r>
        <w:rPr>
          <w:spacing w:val="49"/>
          <w:w w:val="105"/>
        </w:rPr>
        <w:t> </w:t>
      </w:r>
      <w:r>
        <w:rPr>
          <w:w w:val="105"/>
        </w:rPr>
        <w:t>nous avons choisi de travailler sur des corpus de sites représentant une organisation-type : nous appellerons ces sites</w:t>
      </w:r>
      <w:r>
        <w:rPr>
          <w:spacing w:val="49"/>
          <w:w w:val="105"/>
        </w:rPr>
        <w:t> </w:t>
      </w:r>
      <w:r>
        <w:rPr>
          <w:w w:val="105"/>
        </w:rPr>
        <w:t>« sites</w:t>
      </w:r>
      <w:r>
        <w:rPr>
          <w:spacing w:val="49"/>
          <w:w w:val="105"/>
        </w:rPr>
        <w:t> </w:t>
      </w:r>
      <w:r>
        <w:rPr>
          <w:w w:val="105"/>
        </w:rPr>
        <w:t>web</w:t>
      </w:r>
      <w:r>
        <w:rPr>
          <w:spacing w:val="49"/>
          <w:w w:val="105"/>
        </w:rPr>
        <w:t> </w:t>
      </w:r>
      <w:r>
        <w:rPr>
          <w:w w:val="105"/>
        </w:rPr>
        <w:t>organisationnels » (SWO). Ce choix de constitution de corpus, sous couvert d’identification d’organisations relevant d’un même domaine (au plan de l’activité), garantit un facteur de cohérence et d’homogénéité en termes de missions, services et publics visés. D’une façon  plus</w:t>
      </w:r>
      <w:r>
        <w:rPr>
          <w:spacing w:val="49"/>
          <w:w w:val="105"/>
        </w:rPr>
        <w:t> </w:t>
      </w:r>
      <w:r>
        <w:rPr>
          <w:w w:val="105"/>
        </w:rPr>
        <w:t>spécifique, nous nous sommes intéressés aux sites web des universités françaises.</w:t>
      </w:r>
    </w:p>
    <w:p>
      <w:pPr>
        <w:pStyle w:val="BodyText"/>
        <w:spacing w:line="252" w:lineRule="auto" w:before="1"/>
        <w:ind w:left="440" w:right="442"/>
        <w:jc w:val="both"/>
      </w:pPr>
      <w:r>
        <w:rPr>
          <w:w w:val="105"/>
        </w:rPr>
        <w:t>En considérant d’une part la présence historique du milieu universitaire sur le Web et d’autre part l’activité de communication des universités via leur site, le support internet est au cœur de la communication des universités. Ainsi que le rappelle Lainé-Cruzel, « le site de l’université se doit d’être à jour : renseigner d’une manière efficace, présenter des formations et des équipes existantes, des annuaires exploitables, etc. Sa fonction est d’être utile et de rendre des services. Sa nature est d’être évolutive, pour restituer une image aussi fidèle que possible d’un univers en transformation permanente.</w:t>
      </w:r>
    </w:p>
    <w:p>
      <w:pPr>
        <w:pStyle w:val="BodyText"/>
        <w:spacing w:line="254" w:lineRule="auto" w:before="1"/>
        <w:ind w:left="440" w:right="443"/>
        <w:jc w:val="both"/>
      </w:pPr>
      <w:r>
        <w:rPr>
          <w:w w:val="105"/>
        </w:rPr>
        <w:t>La qualité du site sera liée à sa capacité à évoluer en même temps que l’univers sur lequel il informe » (Lainé-Cruzel, 2004). À ce titre, elle le caractérise en tant que ressource, qui s’inscrit dans une double logique de médiation et d’usage.</w:t>
      </w:r>
    </w:p>
    <w:p>
      <w:pPr>
        <w:pStyle w:val="BodyText"/>
        <w:spacing w:line="247" w:lineRule="auto"/>
        <w:ind w:left="440" w:right="442"/>
        <w:jc w:val="both"/>
      </w:pPr>
      <w:r>
        <w:rPr>
          <w:w w:val="105"/>
        </w:rPr>
        <w:t>Par ailleurs, l’intérêt de travailler sur ce domaine organisationnel est d’avoir  une  architecture  du  web  complexe,  puisque  sous l’appellation</w:t>
      </w:r>
    </w:p>
    <w:p>
      <w:pPr>
        <w:pStyle w:val="BodyText"/>
        <w:spacing w:line="254" w:lineRule="auto" w:before="5"/>
        <w:ind w:left="440" w:right="444"/>
        <w:jc w:val="both"/>
      </w:pPr>
      <w:r>
        <w:rPr>
          <w:w w:val="105"/>
        </w:rPr>
        <w:t>« site web d’université » se dissimule une démultiplication de sous-sites web, autonomes, mais participant tous de l’image organisationnelle de l’université.</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1"/>
          <w:numId w:val="1"/>
        </w:numPr>
        <w:tabs>
          <w:tab w:pos="882" w:val="left" w:leader="none"/>
        </w:tabs>
        <w:spacing w:line="254" w:lineRule="auto" w:before="0" w:after="0"/>
        <w:ind w:left="440" w:right="445" w:firstLine="0"/>
        <w:jc w:val="both"/>
      </w:pPr>
      <w:r>
        <w:rPr>
          <w:w w:val="105"/>
        </w:rPr>
        <w:t>Fonction de la page d’accueil et des ULH pour une discrimination informationnelle des</w:t>
      </w:r>
      <w:r>
        <w:rPr>
          <w:spacing w:val="-18"/>
          <w:w w:val="105"/>
        </w:rPr>
        <w:t> </w:t>
      </w:r>
      <w:r>
        <w:rPr>
          <w:w w:val="105"/>
        </w:rPr>
        <w:t>SWO</w:t>
      </w:r>
    </w:p>
    <w:p>
      <w:pPr>
        <w:pStyle w:val="BodyText"/>
        <w:spacing w:before="10"/>
        <w:rPr>
          <w:b/>
        </w:rPr>
      </w:pPr>
    </w:p>
    <w:p>
      <w:pPr>
        <w:pStyle w:val="BodyText"/>
        <w:spacing w:line="252" w:lineRule="auto" w:before="1"/>
        <w:ind w:left="440" w:right="442"/>
        <w:jc w:val="both"/>
      </w:pPr>
      <w:r>
        <w:rPr>
          <w:w w:val="105"/>
        </w:rPr>
        <w:t>Vis-à-vis de cet objet web aux facettes multiples, la page d’accueil joue</w:t>
      </w:r>
      <w:r>
        <w:rPr>
          <w:spacing w:val="49"/>
          <w:w w:val="105"/>
        </w:rPr>
        <w:t> </w:t>
      </w:r>
      <w:r>
        <w:rPr>
          <w:w w:val="105"/>
        </w:rPr>
        <w:t>un rôle déterminant. Celle-ci met en effet en représentation une grande partie de l’information gérée par l’organisation ou la structure concernée, tout en traduisant des choix sélectifs et stratégiques, qui en valorisent certaines dimensions plutôt que d’autres (Nielsen &amp; Tahir, 2002). Mais la page d’accueil d’un site web se donne aussi à voir en tant  qu’écrit d’écran, pour lesquels « nous disposons de « signes outils », de « signes passeurs » qui nous donnent accès aux multiples modalités du texte » (Souchier </w:t>
      </w:r>
      <w:r>
        <w:rPr>
          <w:i/>
          <w:w w:val="105"/>
        </w:rPr>
        <w:t>et al.</w:t>
      </w:r>
      <w:r>
        <w:rPr>
          <w:w w:val="105"/>
        </w:rPr>
        <w:t>, 2003). La fonction d’orientation des usagers du site vers des zones informationnelles spécifiques est donc assurée par ces signes passeurs, choisis notamment pour répondre aux contraintes issues de l’écriture pour ce média. Au plan des usagers, les stratégies de navigation web varient en fonction du niveau d’expérience Web (Thatcher, 2008). Il a été montré que les novices du web s’appuient principalement sur la recherche par sommaire (i.e. les menus de navigation), a contrario de la recherche par mots-clés qui s’avère plutôt efficace seulement pour ceux qui ont déjà des connaissances dans le domaine (Dressen-Hammouda &amp; Drot-Delange, 2009) indépendamment de leur niveau d’expertise web. Dans le cadre de notre recherche, nous considérons donc la page d’accueil en tant que « sommaire » du site (au plan lexical), sommaire qui, tout en présentant des régularités de contenus, pourra</w:t>
      </w:r>
      <w:r>
        <w:rPr>
          <w:spacing w:val="49"/>
          <w:w w:val="105"/>
        </w:rPr>
        <w:t> </w:t>
      </w:r>
      <w:r>
        <w:rPr>
          <w:w w:val="105"/>
        </w:rPr>
        <w:t>prendre différentes formes pour un ensemble de sites du</w:t>
      </w:r>
      <w:r>
        <w:rPr>
          <w:spacing w:val="-15"/>
          <w:w w:val="105"/>
        </w:rPr>
        <w:t> </w:t>
      </w:r>
      <w:r>
        <w:rPr>
          <w:w w:val="105"/>
        </w:rPr>
        <w:t>domaine.</w:t>
      </w:r>
    </w:p>
    <w:p>
      <w:pPr>
        <w:pStyle w:val="BodyText"/>
        <w:spacing w:before="1"/>
        <w:ind w:left="440"/>
        <w:jc w:val="both"/>
      </w:pPr>
      <w:r>
        <w:rPr>
          <w:w w:val="105"/>
        </w:rPr>
        <w:t>Nous restreignons également la notion générique (Jeanneret, 2007) de</w:t>
      </w:r>
    </w:p>
    <w:p>
      <w:pPr>
        <w:pStyle w:val="BodyText"/>
        <w:spacing w:before="12"/>
        <w:ind w:left="440"/>
        <w:jc w:val="both"/>
      </w:pPr>
      <w:r>
        <w:rPr>
          <w:w w:val="105"/>
        </w:rPr>
        <w:t>« signe passeur » (incluant par exemple la dimension iconique) à celle   de</w:t>
      </w:r>
    </w:p>
    <w:p>
      <w:pPr>
        <w:pStyle w:val="BodyText"/>
        <w:spacing w:line="252" w:lineRule="auto" w:before="12"/>
        <w:ind w:left="440" w:right="442"/>
        <w:jc w:val="both"/>
      </w:pPr>
      <w:r>
        <w:rPr>
          <w:w w:val="105"/>
        </w:rPr>
        <w:t>« texte passeur ». Marqués à la fois par des contraintes d’édition et de structuration web, les objectifs stratégiques de valorisation de l’information, et les capacités rédactionnelles des auteurs, les ULH de la page d’accueil, produisent une signature textuelle et sémantique de la</w:t>
      </w:r>
      <w:r>
        <w:rPr>
          <w:spacing w:val="49"/>
          <w:w w:val="105"/>
        </w:rPr>
        <w:t> </w:t>
      </w:r>
      <w:r>
        <w:rPr>
          <w:w w:val="105"/>
        </w:rPr>
        <w:t>page d’accueil (Reymond et Pinède, 2010a) et par extension, du site web concerné. En effet, la majeure partie de ces ULH sont des mots-clés représentant les contenus sous-jacents et constituent des marqueurs thématiques des contenus du site, que l’on peut traduire en signature informationnelle. À ce titre, les ULH d’une page d’accueil de site peuvent être considérées comme représentatives de l’ensemble de l’information portée par le site et, pour certaines, discriminantes (dans leur co- présence) par rapport à des sites web</w:t>
      </w:r>
      <w:r>
        <w:rPr>
          <w:spacing w:val="-10"/>
          <w:w w:val="105"/>
        </w:rPr>
        <w:t> </w:t>
      </w:r>
      <w:r>
        <w:rPr>
          <w:w w:val="105"/>
        </w:rPr>
        <w:t>organisationnels.</w:t>
      </w:r>
    </w:p>
    <w:p>
      <w:pPr>
        <w:pStyle w:val="BodyText"/>
        <w:spacing w:line="254" w:lineRule="auto"/>
        <w:ind w:left="440" w:right="443"/>
        <w:jc w:val="both"/>
      </w:pPr>
      <w:r>
        <w:rPr>
          <w:w w:val="105"/>
        </w:rPr>
        <w:t>Partant de ces postulats, nous nous intéressons ici à la comparaison de deux corpus d’ULH issus d’un ensemble de SWO du domaine universitaire. L’exploitation de ces deux collectes s’effectue à plusieurs niveaux :</w:t>
      </w:r>
    </w:p>
    <w:p>
      <w:pPr>
        <w:pStyle w:val="ListParagraph"/>
        <w:numPr>
          <w:ilvl w:val="0"/>
          <w:numId w:val="2"/>
        </w:numPr>
        <w:tabs>
          <w:tab w:pos="614" w:val="left" w:leader="none"/>
        </w:tabs>
        <w:spacing w:line="254" w:lineRule="auto" w:before="0" w:after="0"/>
        <w:ind w:left="440" w:right="442" w:firstLine="0"/>
        <w:jc w:val="both"/>
        <w:rPr>
          <w:sz w:val="19"/>
        </w:rPr>
      </w:pPr>
      <w:r>
        <w:rPr>
          <w:w w:val="105"/>
          <w:sz w:val="19"/>
        </w:rPr>
        <w:t>Comparaison générique entre ces deux corpus d’ULH permettant d’analyser  l’évolution  des  marqueurs  lexicaux  aux  plans   </w:t>
      </w:r>
      <w:r>
        <w:rPr>
          <w:spacing w:val="28"/>
          <w:w w:val="105"/>
          <w:sz w:val="19"/>
        </w:rPr>
        <w:t> </w:t>
      </w:r>
      <w:r>
        <w:rPr>
          <w:w w:val="105"/>
          <w:sz w:val="19"/>
        </w:rPr>
        <w:t>quantitatifs</w:t>
      </w:r>
    </w:p>
    <w:p>
      <w:pPr>
        <w:spacing w:after="0" w:line="254" w:lineRule="auto"/>
        <w:jc w:val="both"/>
        <w:rPr>
          <w:sz w:val="19"/>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(augmentation/diminution du volume global de termes, à mettre en perspective avec les évolutions organisationnelles et techniques).</w:t>
      </w:r>
    </w:p>
    <w:p>
      <w:pPr>
        <w:pStyle w:val="ListParagraph"/>
        <w:numPr>
          <w:ilvl w:val="0"/>
          <w:numId w:val="2"/>
        </w:numPr>
        <w:tabs>
          <w:tab w:pos="581" w:val="left" w:leader="none"/>
        </w:tabs>
        <w:spacing w:line="252" w:lineRule="auto" w:before="0" w:after="0"/>
        <w:ind w:left="440" w:right="442" w:firstLine="0"/>
        <w:jc w:val="both"/>
        <w:rPr>
          <w:sz w:val="19"/>
        </w:rPr>
      </w:pPr>
      <w:r>
        <w:rPr>
          <w:w w:val="105"/>
          <w:sz w:val="19"/>
        </w:rPr>
        <w:t>Comparaison diachronique des entrées de la taxonomie par classe. Il s’agit ici, en superposant les disparitions et nouvelles entrées d’ULH dans les classes de la taxonomie, en prenant également en compte l’évolution des occurrences d’ULH dans les classes, de faire émerger</w:t>
      </w:r>
      <w:r>
        <w:rPr>
          <w:spacing w:val="49"/>
          <w:w w:val="105"/>
          <w:sz w:val="19"/>
        </w:rPr>
        <w:t> </w:t>
      </w:r>
      <w:r>
        <w:rPr>
          <w:w w:val="105"/>
          <w:sz w:val="19"/>
        </w:rPr>
        <w:t>des  dynamiques thématiques significatives dans le temps (entre t et t+1, à savoir 2009 et</w:t>
      </w:r>
      <w:r>
        <w:rPr>
          <w:spacing w:val="-5"/>
          <w:w w:val="105"/>
          <w:sz w:val="19"/>
        </w:rPr>
        <w:t> </w:t>
      </w:r>
      <w:r>
        <w:rPr>
          <w:w w:val="105"/>
          <w:sz w:val="19"/>
        </w:rPr>
        <w:t>2011).</w:t>
      </w:r>
    </w:p>
    <w:p>
      <w:pPr>
        <w:pStyle w:val="BodyText"/>
        <w:rPr>
          <w:sz w:val="20"/>
        </w:rPr>
      </w:pPr>
    </w:p>
    <w:p>
      <w:pPr>
        <w:pStyle w:val="BodyText"/>
        <w:spacing w:before="2"/>
        <w:rPr>
          <w:sz w:val="20"/>
        </w:rPr>
      </w:pPr>
    </w:p>
    <w:p>
      <w:pPr>
        <w:pStyle w:val="Heading1"/>
        <w:numPr>
          <w:ilvl w:val="0"/>
          <w:numId w:val="1"/>
        </w:numPr>
        <w:tabs>
          <w:tab w:pos="687" w:val="left" w:leader="none"/>
        </w:tabs>
        <w:spacing w:line="240" w:lineRule="auto" w:before="0" w:after="0"/>
        <w:ind w:left="686" w:right="0" w:hanging="246"/>
        <w:jc w:val="both"/>
      </w:pPr>
      <w:r>
        <w:rPr>
          <w:w w:val="105"/>
        </w:rPr>
        <w:t>Méthodologie</w:t>
      </w:r>
    </w:p>
    <w:p>
      <w:pPr>
        <w:pStyle w:val="BodyText"/>
        <w:spacing w:before="1"/>
        <w:rPr>
          <w:b/>
          <w:sz w:val="21"/>
        </w:rPr>
      </w:pPr>
    </w:p>
    <w:p>
      <w:pPr>
        <w:pStyle w:val="ListParagraph"/>
        <w:numPr>
          <w:ilvl w:val="1"/>
          <w:numId w:val="1"/>
        </w:numPr>
        <w:tabs>
          <w:tab w:pos="768" w:val="left" w:leader="none"/>
        </w:tabs>
        <w:spacing w:line="240" w:lineRule="auto" w:before="0" w:after="0"/>
        <w:ind w:left="440" w:right="0" w:firstLine="0"/>
        <w:jc w:val="both"/>
        <w:rPr>
          <w:b/>
          <w:sz w:val="19"/>
        </w:rPr>
      </w:pPr>
      <w:r>
        <w:rPr>
          <w:b/>
          <w:w w:val="105"/>
          <w:sz w:val="19"/>
        </w:rPr>
        <w:t>Constitution des corpus</w:t>
      </w:r>
      <w:r>
        <w:rPr>
          <w:b/>
          <w:spacing w:val="-14"/>
          <w:w w:val="105"/>
          <w:sz w:val="19"/>
        </w:rPr>
        <w:t> </w:t>
      </w:r>
      <w:r>
        <w:rPr>
          <w:b/>
          <w:w w:val="105"/>
          <w:sz w:val="19"/>
        </w:rPr>
        <w:t>d’ULH</w:t>
      </w:r>
    </w:p>
    <w:p>
      <w:pPr>
        <w:pStyle w:val="BodyText"/>
        <w:spacing w:line="252" w:lineRule="auto" w:before="12"/>
        <w:ind w:left="440" w:right="444"/>
        <w:jc w:val="both"/>
      </w:pPr>
      <w:r>
        <w:rPr>
          <w:w w:val="105"/>
        </w:rPr>
        <w:t>Nous avons collecté les ULH présentes sur les interfaces de pages d’accueil</w:t>
      </w:r>
      <w:r>
        <w:rPr>
          <w:w w:val="105"/>
          <w:position w:val="5"/>
          <w:sz w:val="13"/>
        </w:rPr>
        <w:t>27 </w:t>
      </w:r>
      <w:r>
        <w:rPr>
          <w:w w:val="105"/>
        </w:rPr>
        <w:t>de sites web relevant du domaine organisationnel de deux établissements universitaires, se distinguant par leur champ disciplinaire (Sciences et Techniques / Sciences humaines et sociale)</w:t>
      </w:r>
      <w:r>
        <w:rPr>
          <w:w w:val="105"/>
          <w:position w:val="5"/>
          <w:sz w:val="13"/>
        </w:rPr>
        <w:t>28</w:t>
      </w:r>
      <w:r>
        <w:rPr>
          <w:w w:val="105"/>
        </w:rPr>
        <w:t>.</w:t>
      </w:r>
    </w:p>
    <w:p>
      <w:pPr>
        <w:pStyle w:val="BodyText"/>
        <w:spacing w:line="252" w:lineRule="auto" w:before="1"/>
        <w:ind w:left="440" w:right="489"/>
      </w:pPr>
      <w:r>
        <w:rPr>
          <w:w w:val="105"/>
        </w:rPr>
        <w:t>Par rapport à une première extraction de l’ensemble des sites web des zones DNS (Domain Name Service) de Bordeaux 1 et Bordeaux 2, nous avons opéré à une sélection en ne retenant que les sites répondant aux critères d’accessibilité (en langage HTML) ainsi que ceux présents simultanément en 2011 et sur le site webarchive.org pour la collecte</w:t>
      </w:r>
      <w:r>
        <w:rPr>
          <w:spacing w:val="49"/>
          <w:w w:val="105"/>
        </w:rPr>
        <w:t> </w:t>
      </w:r>
      <w:r>
        <w:rPr>
          <w:w w:val="105"/>
        </w:rPr>
        <w:t>2009. Dans un deuxième temps, n’ont été conservés que les sites dont : les ULH ont une sémantique propre (les critères d’exclusion sont : hyperliens en soi (http), courriels, nombres et ULH à 1 caractère)</w:t>
      </w:r>
      <w:r>
        <w:rPr>
          <w:spacing w:val="-11"/>
          <w:w w:val="105"/>
        </w:rPr>
        <w:t> </w:t>
      </w:r>
      <w:r>
        <w:rPr>
          <w:w w:val="105"/>
        </w:rPr>
        <w:t>;</w:t>
      </w:r>
    </w:p>
    <w:p>
      <w:pPr>
        <w:pStyle w:val="BodyText"/>
        <w:spacing w:before="1"/>
        <w:ind w:left="440"/>
        <w:jc w:val="both"/>
      </w:pPr>
      <w:r>
        <w:rPr>
          <w:w w:val="105"/>
        </w:rPr>
        <w:t>le nombre d’ULH collecté par site est supérieur à deux.</w:t>
      </w:r>
    </w:p>
    <w:p>
      <w:pPr>
        <w:pStyle w:val="BodyText"/>
        <w:spacing w:line="254" w:lineRule="auto" w:before="12"/>
        <w:ind w:left="440" w:right="444"/>
        <w:jc w:val="both"/>
      </w:pPr>
      <w:r>
        <w:rPr>
          <w:w w:val="105"/>
        </w:rPr>
        <w:t>Notre corpus de site est constitué au final de 96 pages d’accueil (ou   pages de menu lorsqu’il existe une page d’introduction) de sites pour moitié issus respectivement des domaines DNS de l’université de Bordeaux 1 et de Bordeaux</w:t>
      </w:r>
      <w:r>
        <w:rPr>
          <w:spacing w:val="-7"/>
          <w:w w:val="105"/>
        </w:rPr>
        <w:t> </w:t>
      </w:r>
      <w:r>
        <w:rPr>
          <w:w w:val="105"/>
        </w:rPr>
        <w:t>2.</w:t>
      </w:r>
    </w:p>
    <w:p>
      <w:pPr>
        <w:pStyle w:val="BodyText"/>
        <w:spacing w:line="252" w:lineRule="auto"/>
        <w:ind w:left="440" w:right="443"/>
        <w:jc w:val="both"/>
      </w:pPr>
      <w:r>
        <w:rPr>
          <w:w w:val="105"/>
        </w:rPr>
        <w:t>La collecte automatique s’appuie sur un analyseur lexical qui en premier lieu requête la page d’accueil ou son éventuelle redirection. La seconde phase extrait du code source les termes passeurs (ancres) des pages ainsi que le contenu des balises &lt;ALT&gt;</w:t>
      </w:r>
      <w:r>
        <w:rPr>
          <w:w w:val="105"/>
          <w:position w:val="5"/>
          <w:sz w:val="13"/>
        </w:rPr>
        <w:t>29</w:t>
      </w:r>
      <w:r>
        <w:rPr>
          <w:w w:val="105"/>
        </w:rPr>
        <w:t>. L’extraction opère dans le contenu en langage html tout ce qui se trouve entre les balises &lt;a href=’ ‘&gt; et</w:t>
      </w:r>
    </w:p>
    <w:p>
      <w:pPr>
        <w:pStyle w:val="BodyText"/>
        <w:spacing w:line="254" w:lineRule="auto" w:before="1"/>
        <w:ind w:left="440" w:right="441"/>
        <w:jc w:val="both"/>
      </w:pPr>
      <w:r>
        <w:rPr>
          <w:w w:val="105"/>
        </w:rPr>
        <w:t>&lt;/a&gt; ainsi que dans le champ des balises ALT pour les hyperliens sur images, icônes ou zone (&lt;xxx src=..&gt;) inscrits en tant qu’hyperliens. Selon le format éditorial choisi par les éditeurs, la collecte automatique souffre d’un biais issu de la possibilité de masquer certains éléments    du</w:t>
      </w:r>
    </w:p>
    <w:p>
      <w:pPr>
        <w:pStyle w:val="BodyText"/>
        <w:spacing w:before="7"/>
        <w:rPr>
          <w:sz w:val="15"/>
        </w:rPr>
      </w:pPr>
      <w:r>
        <w:rPr/>
        <w:pict>
          <v:line style="position:absolute;mso-position-horizontal-relative:page;mso-position-vertical-relative:paragraph;z-index:1096;mso-wrap-distance-left:0;mso-wrap-distance-right:0" from="85.039368pt,11.018505pt" to="229.039368pt,11.018505pt" stroked="true" strokeweight=".480011pt" strokecolor="#000000">
            <w10:wrap type="topAndBottom"/>
          </v:line>
        </w:pict>
      </w:r>
    </w:p>
    <w:p>
      <w:pPr>
        <w:spacing w:line="240" w:lineRule="auto" w:before="82"/>
        <w:ind w:left="440" w:right="441" w:firstLine="0"/>
        <w:jc w:val="both"/>
        <w:rPr>
          <w:sz w:val="16"/>
        </w:rPr>
      </w:pPr>
      <w:r>
        <w:rPr>
          <w:position w:val="4"/>
          <w:sz w:val="9"/>
        </w:rPr>
        <w:t>27 </w:t>
      </w:r>
      <w:r>
        <w:rPr>
          <w:sz w:val="16"/>
        </w:rPr>
        <w:t>Par pages d’accueil, nous entendons chaque page d’accueil de tous les sites recensés dans une zone DNS identifiée. Soit une centaine de pages d’accueil en moyenne pour chaque organisation universitaire.</w:t>
      </w:r>
    </w:p>
    <w:p>
      <w:pPr>
        <w:spacing w:line="178" w:lineRule="exact" w:before="0"/>
        <w:ind w:left="440" w:right="0" w:firstLine="0"/>
        <w:jc w:val="both"/>
        <w:rPr>
          <w:sz w:val="16"/>
        </w:rPr>
      </w:pPr>
      <w:r>
        <w:rPr>
          <w:position w:val="4"/>
          <w:sz w:val="9"/>
        </w:rPr>
        <w:t>28  </w:t>
      </w:r>
      <w:r>
        <w:rPr>
          <w:sz w:val="16"/>
        </w:rPr>
        <w:t>Respectivement universités de Bordeaux 1 et Bordeaux 2.</w:t>
      </w:r>
    </w:p>
    <w:p>
      <w:pPr>
        <w:spacing w:line="237" w:lineRule="auto" w:before="3"/>
        <w:ind w:left="440" w:right="442" w:firstLine="0"/>
        <w:jc w:val="both"/>
        <w:rPr>
          <w:sz w:val="16"/>
        </w:rPr>
      </w:pPr>
      <w:r>
        <w:rPr>
          <w:position w:val="4"/>
          <w:sz w:val="9"/>
        </w:rPr>
        <w:t>29 </w:t>
      </w:r>
      <w:r>
        <w:rPr>
          <w:sz w:val="16"/>
        </w:rPr>
        <w:t>Ces balises sont destinées à l’accessibilité de la page pour combler la déficience visuelle et sont donc à vocation de décrire textuellement un marqueur de lien ou d’image.</w:t>
      </w:r>
    </w:p>
    <w:p>
      <w:pPr>
        <w:spacing w:after="0" w:line="237"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code source lorsque le navigateur en produit le rendu via des feuilles de style (CSS par exemple) ou par programmation (ECMAscript). Le</w:t>
      </w:r>
      <w:r>
        <w:rPr>
          <w:spacing w:val="49"/>
          <w:w w:val="105"/>
        </w:rPr>
        <w:t> </w:t>
      </w:r>
      <w:r>
        <w:rPr>
          <w:w w:val="105"/>
        </w:rPr>
        <w:t>parseur n’interprète pas ces langages et est en conséquence insensible à ces variétés de mise en forme. Inversement, le collecteur  peut  aussi capter les marques d’accessibilité qui sont des</w:t>
      </w:r>
      <w:r>
        <w:rPr>
          <w:spacing w:val="49"/>
          <w:w w:val="105"/>
        </w:rPr>
        <w:t> </w:t>
      </w:r>
      <w:r>
        <w:rPr>
          <w:w w:val="105"/>
        </w:rPr>
        <w:t>compléments d’information textuels des données multimédia. Nous notons que le collecteur réalisé n’est pas exempt d’erreurs d’analyse lexicale lors du traitement des données. Toutefois après notre traitement  automatisé nous avons pu mesurer une erreur peu significative : moins de 5% des ULH sont erronées (par exemple, &amp;nbsp, &lt;xt</w:t>
      </w:r>
      <w:r>
        <w:rPr>
          <w:spacing w:val="-11"/>
          <w:w w:val="105"/>
        </w:rPr>
        <w:t> </w:t>
      </w:r>
      <w:r>
        <w:rPr>
          <w:w w:val="105"/>
        </w:rPr>
        <w:t>javascript&gt;).</w:t>
      </w:r>
    </w:p>
    <w:p>
      <w:pPr>
        <w:pStyle w:val="BodyText"/>
        <w:spacing w:before="1"/>
        <w:rPr>
          <w:sz w:val="20"/>
        </w:rPr>
      </w:pPr>
    </w:p>
    <w:p>
      <w:pPr>
        <w:pStyle w:val="Heading1"/>
        <w:numPr>
          <w:ilvl w:val="1"/>
          <w:numId w:val="1"/>
        </w:numPr>
        <w:tabs>
          <w:tab w:pos="783" w:val="left" w:leader="none"/>
        </w:tabs>
        <w:spacing w:line="240" w:lineRule="auto" w:before="0" w:after="0"/>
        <w:ind w:left="782" w:right="0" w:hanging="342"/>
        <w:jc w:val="both"/>
      </w:pPr>
      <w:r>
        <w:rPr>
          <w:w w:val="105"/>
        </w:rPr>
        <w:t>Principes de constitution de la</w:t>
      </w:r>
      <w:r>
        <w:rPr>
          <w:spacing w:val="-13"/>
          <w:w w:val="105"/>
        </w:rPr>
        <w:t> </w:t>
      </w:r>
      <w:r>
        <w:rPr>
          <w:w w:val="105"/>
        </w:rPr>
        <w:t>taxonomie</w:t>
      </w:r>
    </w:p>
    <w:p>
      <w:pPr>
        <w:pStyle w:val="BodyText"/>
        <w:spacing w:line="252" w:lineRule="auto" w:before="12"/>
        <w:ind w:left="440" w:right="443"/>
        <w:jc w:val="both"/>
      </w:pPr>
      <w:r>
        <w:rPr>
          <w:w w:val="105"/>
        </w:rPr>
        <w:t>L’objectif est d’organiser les ULH collectées au sein d’une taxonomie (Tableau 1). Cette taxonomie se découpe selon trois catégories de navigation, déclinées à partir de la segmentation de (Nielsen et Tahir, 2002), elles-mêmes scindées en différentes classes :</w:t>
      </w:r>
    </w:p>
    <w:p>
      <w:pPr>
        <w:pStyle w:val="ListParagraph"/>
        <w:numPr>
          <w:ilvl w:val="0"/>
          <w:numId w:val="2"/>
        </w:numPr>
        <w:tabs>
          <w:tab w:pos="669" w:val="left" w:leader="none"/>
        </w:tabs>
        <w:spacing w:line="254" w:lineRule="auto" w:before="1" w:after="0"/>
        <w:ind w:left="440" w:right="443" w:firstLine="0"/>
        <w:jc w:val="both"/>
        <w:rPr>
          <w:sz w:val="19"/>
        </w:rPr>
      </w:pPr>
      <w:r>
        <w:rPr>
          <w:w w:val="105"/>
          <w:sz w:val="19"/>
        </w:rPr>
        <w:t>Catégorie 1 « Navigation thématique » : correspond aux ULH permettant de donner accès aux contenus des zones profondes des sites. Ces contenus peuvent être directement liés aux activités de l’organisation (5 classes) ou faire référence à des contenus génériques c’est à dire transversaux à différentes organisations (9</w:t>
      </w:r>
      <w:r>
        <w:rPr>
          <w:spacing w:val="-12"/>
          <w:w w:val="105"/>
          <w:sz w:val="19"/>
        </w:rPr>
        <w:t> </w:t>
      </w:r>
      <w:r>
        <w:rPr>
          <w:w w:val="105"/>
          <w:sz w:val="19"/>
        </w:rPr>
        <w:t>classes).</w:t>
      </w:r>
    </w:p>
    <w:p>
      <w:pPr>
        <w:pStyle w:val="ListParagraph"/>
        <w:numPr>
          <w:ilvl w:val="0"/>
          <w:numId w:val="2"/>
        </w:numPr>
        <w:tabs>
          <w:tab w:pos="565" w:val="left" w:leader="none"/>
        </w:tabs>
        <w:spacing w:line="254" w:lineRule="auto" w:before="0" w:after="0"/>
        <w:ind w:left="440" w:right="443" w:firstLine="0"/>
        <w:jc w:val="both"/>
        <w:rPr>
          <w:sz w:val="19"/>
        </w:rPr>
      </w:pPr>
      <w:r>
        <w:rPr>
          <w:w w:val="105"/>
          <w:sz w:val="19"/>
        </w:rPr>
        <w:t>Catégorie 2 « Navigation fonctionnelle » : correspond aux ULH faisant référence aux liens types outils (8</w:t>
      </w:r>
      <w:r>
        <w:rPr>
          <w:spacing w:val="-12"/>
          <w:w w:val="105"/>
          <w:sz w:val="19"/>
        </w:rPr>
        <w:t> </w:t>
      </w:r>
      <w:r>
        <w:rPr>
          <w:w w:val="105"/>
          <w:sz w:val="19"/>
        </w:rPr>
        <w:t>classes).</w:t>
      </w:r>
    </w:p>
    <w:p>
      <w:pPr>
        <w:pStyle w:val="ListParagraph"/>
        <w:numPr>
          <w:ilvl w:val="0"/>
          <w:numId w:val="2"/>
        </w:numPr>
        <w:tabs>
          <w:tab w:pos="559" w:val="left" w:leader="none"/>
        </w:tabs>
        <w:spacing w:line="254" w:lineRule="auto" w:before="0" w:after="0"/>
        <w:ind w:left="440" w:right="441" w:firstLine="0"/>
        <w:jc w:val="both"/>
        <w:rPr>
          <w:sz w:val="19"/>
        </w:rPr>
      </w:pPr>
      <w:r>
        <w:rPr>
          <w:w w:val="105"/>
          <w:sz w:val="19"/>
        </w:rPr>
        <w:t>Catégorie 3 « Navigation par profil » : correspond aux ULH permettant d’avoir accès à une recomposition du site pour les usagers en fonction de spécificités linguistiques ou autres (2</w:t>
      </w:r>
      <w:r>
        <w:rPr>
          <w:spacing w:val="-15"/>
          <w:w w:val="105"/>
          <w:sz w:val="19"/>
        </w:rPr>
        <w:t> </w:t>
      </w:r>
      <w:r>
        <w:rPr>
          <w:w w:val="105"/>
          <w:sz w:val="19"/>
        </w:rPr>
        <w:t>classes).</w:t>
      </w:r>
    </w:p>
    <w:p>
      <w:pPr>
        <w:pStyle w:val="BodyText"/>
        <w:spacing w:before="6"/>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
        <w:gridCol w:w="398"/>
        <w:gridCol w:w="1171"/>
        <w:gridCol w:w="1848"/>
        <w:gridCol w:w="1884"/>
      </w:tblGrid>
      <w:tr>
        <w:trPr>
          <w:trHeight w:val="370" w:hRule="exact"/>
        </w:trPr>
        <w:tc>
          <w:tcPr>
            <w:tcW w:w="761" w:type="dxa"/>
            <w:gridSpan w:val="2"/>
            <w:tcBorders>
              <w:left w:val="single" w:sz="2" w:space="0" w:color="000000"/>
            </w:tcBorders>
          </w:tcPr>
          <w:p>
            <w:pPr>
              <w:pStyle w:val="TableParagraph"/>
              <w:spacing w:line="237" w:lineRule="auto"/>
              <w:ind w:right="105"/>
              <w:rPr>
                <w:sz w:val="16"/>
              </w:rPr>
            </w:pPr>
            <w:r>
              <w:rPr>
                <w:sz w:val="16"/>
              </w:rPr>
              <w:t>Catégori es</w:t>
            </w:r>
          </w:p>
        </w:tc>
        <w:tc>
          <w:tcPr>
            <w:tcW w:w="1171" w:type="dxa"/>
          </w:tcPr>
          <w:p>
            <w:pPr>
              <w:pStyle w:val="TableParagraph"/>
              <w:spacing w:line="177" w:lineRule="exact"/>
              <w:ind w:right="100"/>
              <w:rPr>
                <w:sz w:val="16"/>
              </w:rPr>
            </w:pPr>
            <w:r>
              <w:rPr>
                <w:sz w:val="16"/>
              </w:rPr>
              <w:t>Classes</w:t>
            </w:r>
          </w:p>
        </w:tc>
        <w:tc>
          <w:tcPr>
            <w:tcW w:w="1848" w:type="dxa"/>
          </w:tcPr>
          <w:p>
            <w:pPr>
              <w:pStyle w:val="TableParagraph"/>
              <w:spacing w:line="177" w:lineRule="exact"/>
              <w:ind w:left="100"/>
              <w:rPr>
                <w:sz w:val="16"/>
              </w:rPr>
            </w:pPr>
            <w:r>
              <w:rPr>
                <w:sz w:val="16"/>
              </w:rPr>
              <w:t>Définition</w:t>
            </w:r>
          </w:p>
        </w:tc>
        <w:tc>
          <w:tcPr>
            <w:tcW w:w="1884" w:type="dxa"/>
            <w:tcBorders>
              <w:right w:val="single" w:sz="2" w:space="0" w:color="000000"/>
            </w:tcBorders>
          </w:tcPr>
          <w:p>
            <w:pPr>
              <w:pStyle w:val="TableParagraph"/>
              <w:spacing w:line="175" w:lineRule="exact"/>
              <w:ind w:left="808"/>
              <w:rPr>
                <w:sz w:val="16"/>
              </w:rPr>
            </w:pPr>
            <w:r>
              <w:rPr>
                <w:sz w:val="16"/>
              </w:rPr>
              <w:t>Exemples</w:t>
            </w:r>
          </w:p>
          <w:p>
            <w:pPr>
              <w:pStyle w:val="TableParagraph"/>
              <w:spacing w:line="179" w:lineRule="exact"/>
              <w:ind w:left="100"/>
              <w:rPr>
                <w:sz w:val="16"/>
              </w:rPr>
            </w:pPr>
            <w:r>
              <w:rPr>
                <w:sz w:val="16"/>
              </w:rPr>
              <w:t>d’ULH</w:t>
            </w:r>
          </w:p>
        </w:tc>
      </w:tr>
      <w:tr>
        <w:trPr>
          <w:trHeight w:val="370" w:hRule="exact"/>
        </w:trPr>
        <w:tc>
          <w:tcPr>
            <w:tcW w:w="362" w:type="dxa"/>
            <w:vMerge w:val="restart"/>
            <w:tcBorders>
              <w:left w:val="single" w:sz="2" w:space="0" w:color="000000"/>
            </w:tcBorders>
            <w:textDirection w:val="btLr"/>
          </w:tcPr>
          <w:p>
            <w:pPr>
              <w:pStyle w:val="TableParagraph"/>
              <w:spacing w:before="87"/>
              <w:ind w:left="4"/>
              <w:rPr>
                <w:sz w:val="16"/>
              </w:rPr>
            </w:pPr>
            <w:r>
              <w:rPr>
                <w:spacing w:val="1"/>
                <w:w w:val="98"/>
                <w:sz w:val="16"/>
              </w:rPr>
              <w:t>N</w:t>
            </w:r>
            <w:r>
              <w:rPr>
                <w:w w:val="98"/>
                <w:sz w:val="16"/>
              </w:rPr>
              <w:t>avigation</w:t>
            </w:r>
            <w:r>
              <w:rPr>
                <w:sz w:val="16"/>
              </w:rPr>
              <w:t> </w:t>
            </w:r>
            <w:r>
              <w:rPr>
                <w:w w:val="98"/>
                <w:sz w:val="16"/>
              </w:rPr>
              <w:t>thé</w:t>
            </w:r>
            <w:r>
              <w:rPr>
                <w:spacing w:val="1"/>
                <w:w w:val="98"/>
                <w:sz w:val="16"/>
              </w:rPr>
              <w:t>m</w:t>
            </w:r>
            <w:r>
              <w:rPr>
                <w:w w:val="98"/>
                <w:sz w:val="16"/>
              </w:rPr>
              <w:t>atique</w:t>
            </w:r>
          </w:p>
        </w:tc>
        <w:tc>
          <w:tcPr>
            <w:tcW w:w="398" w:type="dxa"/>
            <w:vMerge w:val="restart"/>
            <w:textDirection w:val="btLr"/>
          </w:tcPr>
          <w:p>
            <w:pPr>
              <w:pStyle w:val="TableParagraph"/>
              <w:spacing w:before="102"/>
              <w:ind w:left="4"/>
              <w:rPr>
                <w:sz w:val="16"/>
              </w:rPr>
            </w:pPr>
            <w:r>
              <w:rPr>
                <w:spacing w:val="1"/>
                <w:w w:val="99"/>
                <w:sz w:val="16"/>
              </w:rPr>
              <w:t>A</w:t>
            </w:r>
            <w:r>
              <w:rPr>
                <w:w w:val="99"/>
                <w:sz w:val="16"/>
              </w:rPr>
              <w:t>ctivités</w:t>
            </w:r>
          </w:p>
        </w:tc>
        <w:tc>
          <w:tcPr>
            <w:tcW w:w="1171" w:type="dxa"/>
          </w:tcPr>
          <w:p>
            <w:pPr>
              <w:pStyle w:val="TableParagraph"/>
              <w:spacing w:line="177" w:lineRule="exact"/>
              <w:ind w:right="100"/>
              <w:rPr>
                <w:sz w:val="16"/>
              </w:rPr>
            </w:pPr>
            <w:r>
              <w:rPr>
                <w:sz w:val="16"/>
              </w:rPr>
              <w:t>Recherche</w:t>
            </w:r>
          </w:p>
        </w:tc>
        <w:tc>
          <w:tcPr>
            <w:tcW w:w="1848" w:type="dxa"/>
          </w:tcPr>
          <w:p>
            <w:pPr>
              <w:pStyle w:val="TableParagraph"/>
              <w:spacing w:line="242" w:lineRule="auto"/>
              <w:ind w:left="100"/>
              <w:rPr>
                <w:sz w:val="16"/>
              </w:rPr>
            </w:pPr>
            <w:r>
              <w:rPr>
                <w:sz w:val="16"/>
              </w:rPr>
              <w:t>Activités ayant trait à la recherche</w:t>
            </w:r>
          </w:p>
        </w:tc>
        <w:tc>
          <w:tcPr>
            <w:tcW w:w="1884" w:type="dxa"/>
            <w:tcBorders>
              <w:right w:val="single" w:sz="2" w:space="0" w:color="000000"/>
            </w:tcBorders>
          </w:tcPr>
          <w:p>
            <w:pPr>
              <w:pStyle w:val="TableParagraph"/>
              <w:spacing w:line="242" w:lineRule="auto"/>
              <w:ind w:left="100" w:right="782"/>
              <w:rPr>
                <w:sz w:val="16"/>
              </w:rPr>
            </w:pPr>
            <w:r>
              <w:rPr>
                <w:sz w:val="16"/>
              </w:rPr>
              <w:t>Ecole doctorale Laboratoires</w:t>
            </w:r>
          </w:p>
        </w:tc>
      </w:tr>
      <w:tr>
        <w:trPr>
          <w:trHeight w:val="552" w:hRule="exact"/>
        </w:trPr>
        <w:tc>
          <w:tcPr>
            <w:tcW w:w="362" w:type="dxa"/>
            <w:vMerge/>
            <w:tcBorders>
              <w:left w:val="single" w:sz="2" w:space="0" w:color="000000"/>
            </w:tcBorders>
            <w:textDirection w:val="btLr"/>
          </w:tcPr>
          <w:p>
            <w:pPr/>
          </w:p>
        </w:tc>
        <w:tc>
          <w:tcPr>
            <w:tcW w:w="398" w:type="dxa"/>
            <w:vMerge/>
            <w:textDirection w:val="btLr"/>
          </w:tcPr>
          <w:p>
            <w:pPr/>
          </w:p>
        </w:tc>
        <w:tc>
          <w:tcPr>
            <w:tcW w:w="1171" w:type="dxa"/>
          </w:tcPr>
          <w:p>
            <w:pPr>
              <w:pStyle w:val="TableParagraph"/>
              <w:spacing w:line="177" w:lineRule="exact"/>
              <w:ind w:right="100"/>
              <w:rPr>
                <w:sz w:val="16"/>
              </w:rPr>
            </w:pPr>
            <w:r>
              <w:rPr>
                <w:sz w:val="16"/>
              </w:rPr>
              <w:t>Formation</w:t>
            </w:r>
          </w:p>
        </w:tc>
        <w:tc>
          <w:tcPr>
            <w:tcW w:w="1848" w:type="dxa"/>
          </w:tcPr>
          <w:p>
            <w:pPr>
              <w:pStyle w:val="TableParagraph"/>
              <w:spacing w:line="242" w:lineRule="auto"/>
              <w:ind w:left="100"/>
              <w:rPr>
                <w:sz w:val="16"/>
              </w:rPr>
            </w:pPr>
            <w:r>
              <w:rPr>
                <w:sz w:val="16"/>
              </w:rPr>
              <w:t>Activités ayant trait à l’enseignement</w:t>
            </w:r>
          </w:p>
        </w:tc>
        <w:tc>
          <w:tcPr>
            <w:tcW w:w="1884" w:type="dxa"/>
            <w:tcBorders>
              <w:right w:val="single" w:sz="2" w:space="0" w:color="000000"/>
            </w:tcBorders>
          </w:tcPr>
          <w:p>
            <w:pPr>
              <w:pStyle w:val="TableParagraph"/>
              <w:spacing w:line="177" w:lineRule="exact"/>
              <w:ind w:left="100"/>
              <w:rPr>
                <w:sz w:val="16"/>
              </w:rPr>
            </w:pPr>
            <w:r>
              <w:rPr>
                <w:sz w:val="16"/>
              </w:rPr>
              <w:t>Master 2</w:t>
            </w:r>
          </w:p>
          <w:p>
            <w:pPr>
              <w:pStyle w:val="TableParagraph"/>
              <w:spacing w:line="179" w:lineRule="exact" w:before="2"/>
              <w:ind w:left="100"/>
              <w:rPr>
                <w:sz w:val="16"/>
              </w:rPr>
            </w:pPr>
            <w:r>
              <w:rPr>
                <w:sz w:val="16"/>
              </w:rPr>
              <w:t>Nouvelle    licence    2011-</w:t>
            </w:r>
          </w:p>
          <w:p>
            <w:pPr>
              <w:pStyle w:val="TableParagraph"/>
              <w:spacing w:line="179" w:lineRule="exact"/>
              <w:ind w:left="100"/>
              <w:rPr>
                <w:sz w:val="16"/>
              </w:rPr>
            </w:pPr>
            <w:r>
              <w:rPr>
                <w:sz w:val="16"/>
              </w:rPr>
              <w:t>2012</w:t>
            </w:r>
          </w:p>
        </w:tc>
      </w:tr>
      <w:tr>
        <w:trPr>
          <w:trHeight w:val="730" w:hRule="exact"/>
        </w:trPr>
        <w:tc>
          <w:tcPr>
            <w:tcW w:w="362" w:type="dxa"/>
            <w:vMerge/>
            <w:tcBorders>
              <w:left w:val="single" w:sz="2" w:space="0" w:color="000000"/>
            </w:tcBorders>
            <w:textDirection w:val="btLr"/>
          </w:tcPr>
          <w:p>
            <w:pPr/>
          </w:p>
        </w:tc>
        <w:tc>
          <w:tcPr>
            <w:tcW w:w="398" w:type="dxa"/>
            <w:vMerge/>
            <w:textDirection w:val="btLr"/>
          </w:tcPr>
          <w:p>
            <w:pPr/>
          </w:p>
        </w:tc>
        <w:tc>
          <w:tcPr>
            <w:tcW w:w="1171" w:type="dxa"/>
          </w:tcPr>
          <w:p>
            <w:pPr>
              <w:pStyle w:val="TableParagraph"/>
              <w:spacing w:line="237" w:lineRule="auto"/>
              <w:ind w:right="100"/>
              <w:rPr>
                <w:sz w:val="16"/>
              </w:rPr>
            </w:pPr>
            <w:r>
              <w:rPr>
                <w:sz w:val="16"/>
              </w:rPr>
              <w:t>Ressources </w:t>
            </w:r>
            <w:r>
              <w:rPr>
                <w:w w:val="95"/>
                <w:sz w:val="16"/>
              </w:rPr>
              <w:t>documentaires</w:t>
            </w:r>
          </w:p>
        </w:tc>
        <w:tc>
          <w:tcPr>
            <w:tcW w:w="1848" w:type="dxa"/>
          </w:tcPr>
          <w:p>
            <w:pPr>
              <w:pStyle w:val="TableParagraph"/>
              <w:spacing w:line="175" w:lineRule="exact"/>
              <w:ind w:left="100"/>
              <w:jc w:val="both"/>
              <w:rPr>
                <w:sz w:val="16"/>
              </w:rPr>
            </w:pPr>
            <w:r>
              <w:rPr>
                <w:sz w:val="16"/>
              </w:rPr>
              <w:t>Ressources</w:t>
            </w:r>
          </w:p>
          <w:p>
            <w:pPr>
              <w:pStyle w:val="TableParagraph"/>
              <w:ind w:left="100" w:right="103"/>
              <w:jc w:val="both"/>
              <w:rPr>
                <w:sz w:val="16"/>
              </w:rPr>
            </w:pPr>
            <w:r>
              <w:rPr>
                <w:sz w:val="16"/>
              </w:rPr>
              <w:t>documentaires générales ou spécialisées accessible en ligne</w:t>
            </w:r>
          </w:p>
        </w:tc>
        <w:tc>
          <w:tcPr>
            <w:tcW w:w="1884" w:type="dxa"/>
            <w:tcBorders>
              <w:right w:val="single" w:sz="2" w:space="0" w:color="000000"/>
            </w:tcBorders>
          </w:tcPr>
          <w:p>
            <w:pPr>
              <w:pStyle w:val="TableParagraph"/>
              <w:spacing w:line="237" w:lineRule="auto"/>
              <w:ind w:left="100" w:right="468"/>
              <w:rPr>
                <w:sz w:val="16"/>
              </w:rPr>
            </w:pPr>
            <w:r>
              <w:rPr>
                <w:sz w:val="16"/>
              </w:rPr>
              <w:t>Livres numériques Thèses électroniques</w:t>
            </w:r>
          </w:p>
        </w:tc>
      </w:tr>
      <w:tr>
        <w:trPr>
          <w:trHeight w:val="547" w:hRule="exact"/>
        </w:trPr>
        <w:tc>
          <w:tcPr>
            <w:tcW w:w="362" w:type="dxa"/>
            <w:vMerge/>
            <w:tcBorders>
              <w:left w:val="single" w:sz="2" w:space="0" w:color="000000"/>
            </w:tcBorders>
            <w:textDirection w:val="btLr"/>
          </w:tcPr>
          <w:p>
            <w:pPr/>
          </w:p>
        </w:tc>
        <w:tc>
          <w:tcPr>
            <w:tcW w:w="398" w:type="dxa"/>
            <w:vMerge/>
            <w:textDirection w:val="btLr"/>
          </w:tcPr>
          <w:p>
            <w:pPr/>
          </w:p>
        </w:tc>
        <w:tc>
          <w:tcPr>
            <w:tcW w:w="1171" w:type="dxa"/>
          </w:tcPr>
          <w:p>
            <w:pPr>
              <w:pStyle w:val="TableParagraph"/>
              <w:ind w:right="100"/>
              <w:rPr>
                <w:sz w:val="16"/>
              </w:rPr>
            </w:pPr>
            <w:r>
              <w:rPr>
                <w:w w:val="95"/>
                <w:sz w:val="16"/>
              </w:rPr>
              <w:t>Partenariat/tra </w:t>
            </w:r>
            <w:r>
              <w:rPr>
                <w:sz w:val="16"/>
              </w:rPr>
              <w:t>nsfert/ valorisation</w:t>
            </w:r>
          </w:p>
        </w:tc>
        <w:tc>
          <w:tcPr>
            <w:tcW w:w="1848" w:type="dxa"/>
          </w:tcPr>
          <w:p>
            <w:pPr>
              <w:pStyle w:val="TableParagraph"/>
              <w:tabs>
                <w:tab w:pos="1410" w:val="left" w:leader="none"/>
              </w:tabs>
              <w:ind w:left="100" w:right="103"/>
              <w:jc w:val="both"/>
              <w:rPr>
                <w:sz w:val="16"/>
              </w:rPr>
            </w:pPr>
            <w:r>
              <w:rPr>
                <w:sz w:val="16"/>
              </w:rPr>
              <w:t>Partenariats affichés de l’université</w:t>
              <w:tab/>
              <w:t>(hors international)</w:t>
            </w:r>
          </w:p>
        </w:tc>
        <w:tc>
          <w:tcPr>
            <w:tcW w:w="1884" w:type="dxa"/>
            <w:tcBorders>
              <w:right w:val="single" w:sz="2" w:space="0" w:color="000000"/>
            </w:tcBorders>
          </w:tcPr>
          <w:p>
            <w:pPr>
              <w:pStyle w:val="TableParagraph"/>
              <w:spacing w:line="237" w:lineRule="auto"/>
              <w:ind w:left="100" w:right="155"/>
              <w:rPr>
                <w:sz w:val="16"/>
              </w:rPr>
            </w:pPr>
            <w:r>
              <w:rPr>
                <w:sz w:val="16"/>
              </w:rPr>
              <w:t>Nos partenaires Collaborations et contrats</w:t>
            </w:r>
          </w:p>
        </w:tc>
      </w:tr>
      <w:tr>
        <w:trPr>
          <w:trHeight w:val="552" w:hRule="exact"/>
        </w:trPr>
        <w:tc>
          <w:tcPr>
            <w:tcW w:w="362" w:type="dxa"/>
            <w:vMerge/>
            <w:tcBorders>
              <w:left w:val="single" w:sz="2" w:space="0" w:color="000000"/>
            </w:tcBorders>
            <w:textDirection w:val="btLr"/>
          </w:tcPr>
          <w:p>
            <w:pPr/>
          </w:p>
        </w:tc>
        <w:tc>
          <w:tcPr>
            <w:tcW w:w="398" w:type="dxa"/>
            <w:vMerge/>
            <w:textDirection w:val="btLr"/>
          </w:tcPr>
          <w:p>
            <w:pPr/>
          </w:p>
        </w:tc>
        <w:tc>
          <w:tcPr>
            <w:tcW w:w="1171" w:type="dxa"/>
          </w:tcPr>
          <w:p>
            <w:pPr>
              <w:pStyle w:val="TableParagraph"/>
              <w:spacing w:line="177" w:lineRule="exact"/>
              <w:ind w:right="100"/>
              <w:rPr>
                <w:sz w:val="16"/>
              </w:rPr>
            </w:pPr>
            <w:r>
              <w:rPr>
                <w:sz w:val="16"/>
              </w:rPr>
              <w:t>International</w:t>
            </w:r>
          </w:p>
        </w:tc>
        <w:tc>
          <w:tcPr>
            <w:tcW w:w="1848" w:type="dxa"/>
          </w:tcPr>
          <w:p>
            <w:pPr>
              <w:pStyle w:val="TableParagraph"/>
              <w:tabs>
                <w:tab w:pos="1585" w:val="left" w:leader="none"/>
              </w:tabs>
              <w:ind w:left="100" w:right="104"/>
              <w:jc w:val="both"/>
              <w:rPr>
                <w:sz w:val="16"/>
              </w:rPr>
            </w:pPr>
            <w:r>
              <w:rPr>
                <w:sz w:val="16"/>
              </w:rPr>
              <w:t>Relations et politique internationales</w:t>
              <w:tab/>
              <w:t>de l’université</w:t>
            </w:r>
          </w:p>
        </w:tc>
        <w:tc>
          <w:tcPr>
            <w:tcW w:w="1884" w:type="dxa"/>
            <w:tcBorders>
              <w:right w:val="single" w:sz="2" w:space="0" w:color="000000"/>
            </w:tcBorders>
          </w:tcPr>
          <w:p>
            <w:pPr>
              <w:pStyle w:val="TableParagraph"/>
              <w:spacing w:line="242" w:lineRule="auto"/>
              <w:ind w:left="100" w:right="238"/>
              <w:rPr>
                <w:sz w:val="16"/>
              </w:rPr>
            </w:pPr>
            <w:r>
              <w:rPr>
                <w:sz w:val="16"/>
              </w:rPr>
              <w:t>Etudes à l’étranger Relations internationales</w:t>
            </w:r>
          </w:p>
        </w:tc>
      </w:tr>
      <w:tr>
        <w:trPr>
          <w:trHeight w:val="370" w:hRule="exact"/>
        </w:trPr>
        <w:tc>
          <w:tcPr>
            <w:tcW w:w="362" w:type="dxa"/>
            <w:vMerge/>
            <w:tcBorders>
              <w:left w:val="single" w:sz="2" w:space="0" w:color="000000"/>
            </w:tcBorders>
            <w:textDirection w:val="btLr"/>
          </w:tcPr>
          <w:p>
            <w:pPr/>
          </w:p>
        </w:tc>
        <w:tc>
          <w:tcPr>
            <w:tcW w:w="398" w:type="dxa"/>
            <w:vMerge w:val="restart"/>
            <w:textDirection w:val="btLr"/>
          </w:tcPr>
          <w:p>
            <w:pPr>
              <w:pStyle w:val="TableParagraph"/>
              <w:spacing w:before="102"/>
              <w:ind w:left="4"/>
              <w:rPr>
                <w:sz w:val="16"/>
              </w:rPr>
            </w:pPr>
            <w:r>
              <w:rPr>
                <w:spacing w:val="1"/>
                <w:w w:val="99"/>
                <w:sz w:val="16"/>
              </w:rPr>
              <w:t>G</w:t>
            </w:r>
            <w:r>
              <w:rPr>
                <w:w w:val="99"/>
                <w:sz w:val="16"/>
              </w:rPr>
              <w:t>énériques</w:t>
            </w:r>
          </w:p>
        </w:tc>
        <w:tc>
          <w:tcPr>
            <w:tcW w:w="1171" w:type="dxa"/>
          </w:tcPr>
          <w:p>
            <w:pPr>
              <w:pStyle w:val="TableParagraph"/>
              <w:spacing w:line="237" w:lineRule="auto"/>
              <w:ind w:right="100"/>
              <w:rPr>
                <w:sz w:val="16"/>
              </w:rPr>
            </w:pPr>
            <w:r>
              <w:rPr>
                <w:w w:val="95"/>
                <w:sz w:val="16"/>
              </w:rPr>
              <w:t>Accueil/présen </w:t>
            </w:r>
            <w:r>
              <w:rPr>
                <w:sz w:val="16"/>
              </w:rPr>
              <w:t>tation</w:t>
            </w:r>
          </w:p>
        </w:tc>
        <w:tc>
          <w:tcPr>
            <w:tcW w:w="1848" w:type="dxa"/>
          </w:tcPr>
          <w:p>
            <w:pPr>
              <w:pStyle w:val="TableParagraph"/>
              <w:spacing w:line="237" w:lineRule="auto"/>
              <w:ind w:left="100"/>
              <w:rPr>
                <w:sz w:val="16"/>
              </w:rPr>
            </w:pPr>
            <w:r>
              <w:rPr>
                <w:sz w:val="16"/>
              </w:rPr>
              <w:t>Contenus généralistes sur l’organisation</w:t>
            </w:r>
          </w:p>
        </w:tc>
        <w:tc>
          <w:tcPr>
            <w:tcW w:w="1884" w:type="dxa"/>
            <w:tcBorders>
              <w:right w:val="single" w:sz="2" w:space="0" w:color="000000"/>
            </w:tcBorders>
          </w:tcPr>
          <w:p>
            <w:pPr>
              <w:pStyle w:val="TableParagraph"/>
              <w:spacing w:line="237" w:lineRule="auto"/>
              <w:ind w:left="100" w:right="782"/>
              <w:rPr>
                <w:sz w:val="16"/>
              </w:rPr>
            </w:pPr>
            <w:r>
              <w:rPr>
                <w:w w:val="95"/>
                <w:sz w:val="16"/>
              </w:rPr>
              <w:t>Bienvenue </w:t>
            </w:r>
            <w:r>
              <w:rPr>
                <w:sz w:val="16"/>
              </w:rPr>
              <w:t>Accueil</w:t>
            </w:r>
          </w:p>
        </w:tc>
      </w:tr>
      <w:tr>
        <w:trPr>
          <w:trHeight w:val="552" w:hRule="exact"/>
        </w:trPr>
        <w:tc>
          <w:tcPr>
            <w:tcW w:w="362" w:type="dxa"/>
            <w:vMerge/>
            <w:tcBorders>
              <w:left w:val="single" w:sz="2" w:space="0" w:color="000000"/>
            </w:tcBorders>
            <w:textDirection w:val="btLr"/>
          </w:tcPr>
          <w:p>
            <w:pPr/>
          </w:p>
        </w:tc>
        <w:tc>
          <w:tcPr>
            <w:tcW w:w="398" w:type="dxa"/>
            <w:vMerge/>
            <w:textDirection w:val="btLr"/>
          </w:tcPr>
          <w:p>
            <w:pPr/>
          </w:p>
        </w:tc>
        <w:tc>
          <w:tcPr>
            <w:tcW w:w="1171" w:type="dxa"/>
          </w:tcPr>
          <w:p>
            <w:pPr>
              <w:pStyle w:val="TableParagraph"/>
              <w:spacing w:line="177" w:lineRule="exact"/>
              <w:ind w:right="100"/>
              <w:rPr>
                <w:sz w:val="16"/>
              </w:rPr>
            </w:pPr>
            <w:r>
              <w:rPr>
                <w:sz w:val="16"/>
              </w:rPr>
              <w:t>Actualités</w:t>
            </w:r>
          </w:p>
        </w:tc>
        <w:tc>
          <w:tcPr>
            <w:tcW w:w="1848" w:type="dxa"/>
          </w:tcPr>
          <w:p>
            <w:pPr>
              <w:pStyle w:val="TableParagraph"/>
              <w:ind w:left="100" w:right="103"/>
              <w:jc w:val="both"/>
              <w:rPr>
                <w:sz w:val="16"/>
              </w:rPr>
            </w:pPr>
            <w:r>
              <w:rPr>
                <w:sz w:val="16"/>
              </w:rPr>
              <w:t>Contenus ayant une dimension temporelle, éphémère</w:t>
            </w:r>
          </w:p>
        </w:tc>
        <w:tc>
          <w:tcPr>
            <w:tcW w:w="1884" w:type="dxa"/>
            <w:tcBorders>
              <w:right w:val="single" w:sz="2" w:space="0" w:color="000000"/>
            </w:tcBorders>
          </w:tcPr>
          <w:p>
            <w:pPr>
              <w:pStyle w:val="TableParagraph"/>
              <w:spacing w:line="242" w:lineRule="auto"/>
              <w:ind w:left="100" w:right="526"/>
              <w:rPr>
                <w:sz w:val="16"/>
              </w:rPr>
            </w:pPr>
            <w:r>
              <w:rPr>
                <w:sz w:val="16"/>
              </w:rPr>
              <w:t>A la une Evènements à venir</w:t>
            </w:r>
          </w:p>
        </w:tc>
      </w:tr>
    </w:tbl>
    <w:p>
      <w:pPr>
        <w:spacing w:after="0" w:line="242" w:lineRule="auto"/>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3"/>
        <w:rPr>
          <w:sz w:val="20"/>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
        <w:gridCol w:w="398"/>
        <w:gridCol w:w="1171"/>
        <w:gridCol w:w="1848"/>
        <w:gridCol w:w="1884"/>
      </w:tblGrid>
      <w:tr>
        <w:trPr>
          <w:trHeight w:val="730" w:hRule="exact"/>
        </w:trPr>
        <w:tc>
          <w:tcPr>
            <w:tcW w:w="362" w:type="dxa"/>
            <w:vMerge w:val="restart"/>
            <w:tcBorders>
              <w:left w:val="single" w:sz="2" w:space="0" w:color="000000"/>
            </w:tcBorders>
          </w:tcPr>
          <w:p>
            <w:pPr/>
          </w:p>
        </w:tc>
        <w:tc>
          <w:tcPr>
            <w:tcW w:w="398" w:type="dxa"/>
            <w:vMerge w:val="restart"/>
          </w:tcPr>
          <w:p>
            <w:pPr/>
          </w:p>
        </w:tc>
        <w:tc>
          <w:tcPr>
            <w:tcW w:w="1171" w:type="dxa"/>
          </w:tcPr>
          <w:p>
            <w:pPr>
              <w:pStyle w:val="TableParagraph"/>
              <w:spacing w:line="242" w:lineRule="auto"/>
              <w:ind w:right="100"/>
              <w:rPr>
                <w:sz w:val="16"/>
              </w:rPr>
            </w:pPr>
            <w:r>
              <w:rPr>
                <w:w w:val="95"/>
                <w:sz w:val="16"/>
              </w:rPr>
              <w:t>Composantes </w:t>
            </w:r>
            <w:r>
              <w:rPr>
                <w:sz w:val="16"/>
              </w:rPr>
              <w:t>extérieures</w:t>
            </w:r>
          </w:p>
        </w:tc>
        <w:tc>
          <w:tcPr>
            <w:tcW w:w="1848" w:type="dxa"/>
          </w:tcPr>
          <w:p>
            <w:pPr>
              <w:pStyle w:val="TableParagraph"/>
              <w:tabs>
                <w:tab w:pos="1586" w:val="left" w:leader="none"/>
              </w:tabs>
              <w:spacing w:line="177" w:lineRule="exact"/>
              <w:ind w:left="100"/>
              <w:rPr>
                <w:sz w:val="16"/>
              </w:rPr>
            </w:pPr>
            <w:r>
              <w:rPr>
                <w:sz w:val="16"/>
              </w:rPr>
              <w:t>Mention</w:t>
              <w:tab/>
              <w:t>de</w:t>
            </w:r>
          </w:p>
          <w:p>
            <w:pPr>
              <w:pStyle w:val="TableParagraph"/>
              <w:spacing w:before="2"/>
              <w:ind w:left="100" w:right="105"/>
              <w:rPr>
                <w:sz w:val="16"/>
              </w:rPr>
            </w:pPr>
            <w:r>
              <w:rPr>
                <w:sz w:val="16"/>
              </w:rPr>
              <w:t>composantes  ou structures extérieures à l’organisation</w:t>
            </w:r>
          </w:p>
        </w:tc>
        <w:tc>
          <w:tcPr>
            <w:tcW w:w="1884" w:type="dxa"/>
            <w:tcBorders>
              <w:right w:val="single" w:sz="2" w:space="0" w:color="000000"/>
            </w:tcBorders>
          </w:tcPr>
          <w:p>
            <w:pPr>
              <w:pStyle w:val="TableParagraph"/>
              <w:spacing w:line="177" w:lineRule="exact"/>
              <w:ind w:left="100"/>
              <w:rPr>
                <w:sz w:val="16"/>
              </w:rPr>
            </w:pPr>
            <w:r>
              <w:rPr>
                <w:sz w:val="16"/>
              </w:rPr>
              <w:t>Accueil CNRS</w:t>
            </w:r>
          </w:p>
          <w:p>
            <w:pPr>
              <w:pStyle w:val="TableParagraph"/>
              <w:spacing w:line="237" w:lineRule="auto" w:before="3"/>
              <w:ind w:left="100"/>
              <w:rPr>
                <w:sz w:val="16"/>
              </w:rPr>
            </w:pPr>
            <w:r>
              <w:rPr>
                <w:sz w:val="16"/>
              </w:rPr>
              <w:t>Institut Polytechnique de Bordeaux</w:t>
            </w:r>
          </w:p>
        </w:tc>
      </w:tr>
      <w:tr>
        <w:trPr>
          <w:trHeight w:val="552" w:hRule="exact"/>
        </w:trPr>
        <w:tc>
          <w:tcPr>
            <w:tcW w:w="362" w:type="dxa"/>
            <w:vMerge/>
            <w:tcBorders>
              <w:left w:val="single" w:sz="2" w:space="0" w:color="000000"/>
            </w:tcBorders>
          </w:tcPr>
          <w:p>
            <w:pPr/>
          </w:p>
        </w:tc>
        <w:tc>
          <w:tcPr>
            <w:tcW w:w="398" w:type="dxa"/>
            <w:vMerge/>
          </w:tcPr>
          <w:p>
            <w:pPr/>
          </w:p>
        </w:tc>
        <w:tc>
          <w:tcPr>
            <w:tcW w:w="1171" w:type="dxa"/>
          </w:tcPr>
          <w:p>
            <w:pPr>
              <w:pStyle w:val="TableParagraph"/>
              <w:spacing w:line="242" w:lineRule="auto"/>
              <w:ind w:right="100"/>
              <w:rPr>
                <w:sz w:val="16"/>
              </w:rPr>
            </w:pPr>
            <w:r>
              <w:rPr>
                <w:w w:val="95"/>
                <w:sz w:val="16"/>
              </w:rPr>
              <w:t>Informations </w:t>
            </w:r>
            <w:r>
              <w:rPr>
                <w:sz w:val="16"/>
              </w:rPr>
              <w:t>pratiques</w:t>
            </w:r>
          </w:p>
        </w:tc>
        <w:tc>
          <w:tcPr>
            <w:tcW w:w="1848" w:type="dxa"/>
          </w:tcPr>
          <w:p>
            <w:pPr>
              <w:pStyle w:val="TableParagraph"/>
              <w:ind w:left="100" w:right="104"/>
              <w:jc w:val="both"/>
              <w:rPr>
                <w:sz w:val="16"/>
              </w:rPr>
            </w:pPr>
            <w:r>
              <w:rPr>
                <w:sz w:val="16"/>
              </w:rPr>
              <w:t>Informations, contenus démarches dépendantes de</w:t>
            </w:r>
            <w:r>
              <w:rPr>
                <w:spacing w:val="-10"/>
                <w:sz w:val="16"/>
              </w:rPr>
              <w:t> </w:t>
            </w:r>
            <w:r>
              <w:rPr>
                <w:sz w:val="16"/>
              </w:rPr>
              <w:t>l’organisation</w:t>
            </w:r>
          </w:p>
        </w:tc>
        <w:tc>
          <w:tcPr>
            <w:tcW w:w="1884" w:type="dxa"/>
            <w:tcBorders>
              <w:right w:val="single" w:sz="2" w:space="0" w:color="000000"/>
            </w:tcBorders>
          </w:tcPr>
          <w:p>
            <w:pPr>
              <w:pStyle w:val="TableParagraph"/>
              <w:spacing w:line="242" w:lineRule="auto"/>
              <w:ind w:left="100" w:right="221"/>
              <w:rPr>
                <w:sz w:val="16"/>
              </w:rPr>
            </w:pPr>
            <w:r>
              <w:rPr>
                <w:sz w:val="16"/>
              </w:rPr>
              <w:t>Infos pratiques étudiants Logement</w:t>
            </w:r>
          </w:p>
          <w:p>
            <w:pPr>
              <w:pStyle w:val="TableParagraph"/>
              <w:spacing w:line="176" w:lineRule="exact"/>
              <w:ind w:left="100"/>
              <w:rPr>
                <w:sz w:val="16"/>
              </w:rPr>
            </w:pPr>
            <w:r>
              <w:rPr>
                <w:sz w:val="16"/>
              </w:rPr>
              <w:t>Santé-social</w:t>
            </w:r>
          </w:p>
        </w:tc>
      </w:tr>
      <w:tr>
        <w:trPr>
          <w:trHeight w:val="552" w:hRule="exact"/>
        </w:trPr>
        <w:tc>
          <w:tcPr>
            <w:tcW w:w="362" w:type="dxa"/>
            <w:vMerge/>
            <w:tcBorders>
              <w:left w:val="single" w:sz="2" w:space="0" w:color="000000"/>
            </w:tcBorders>
          </w:tcPr>
          <w:p>
            <w:pPr/>
          </w:p>
        </w:tc>
        <w:tc>
          <w:tcPr>
            <w:tcW w:w="398" w:type="dxa"/>
            <w:vMerge/>
          </w:tcPr>
          <w:p>
            <w:pPr/>
          </w:p>
        </w:tc>
        <w:tc>
          <w:tcPr>
            <w:tcW w:w="1171" w:type="dxa"/>
          </w:tcPr>
          <w:p>
            <w:pPr>
              <w:pStyle w:val="TableParagraph"/>
              <w:spacing w:line="242" w:lineRule="auto"/>
              <w:ind w:right="100"/>
              <w:rPr>
                <w:sz w:val="16"/>
              </w:rPr>
            </w:pPr>
            <w:r>
              <w:rPr>
                <w:sz w:val="16"/>
              </w:rPr>
              <w:t>Services </w:t>
            </w:r>
            <w:r>
              <w:rPr>
                <w:w w:val="95"/>
                <w:sz w:val="16"/>
              </w:rPr>
              <w:t>dématérialisés</w:t>
            </w:r>
          </w:p>
        </w:tc>
        <w:tc>
          <w:tcPr>
            <w:tcW w:w="1848" w:type="dxa"/>
          </w:tcPr>
          <w:p>
            <w:pPr>
              <w:pStyle w:val="TableParagraph"/>
              <w:ind w:left="100" w:right="103"/>
              <w:jc w:val="both"/>
              <w:rPr>
                <w:sz w:val="16"/>
              </w:rPr>
            </w:pPr>
            <w:r>
              <w:rPr>
                <w:sz w:val="16"/>
              </w:rPr>
              <w:t>Accès à des services identifiés accessible en ligne (annuaire, etc.)</w:t>
            </w:r>
          </w:p>
        </w:tc>
        <w:tc>
          <w:tcPr>
            <w:tcW w:w="1884" w:type="dxa"/>
            <w:tcBorders>
              <w:right w:val="single" w:sz="2" w:space="0" w:color="000000"/>
            </w:tcBorders>
          </w:tcPr>
          <w:p>
            <w:pPr>
              <w:pStyle w:val="TableParagraph"/>
              <w:spacing w:line="242" w:lineRule="auto"/>
              <w:ind w:left="100" w:right="782"/>
              <w:rPr>
                <w:sz w:val="16"/>
              </w:rPr>
            </w:pPr>
            <w:r>
              <w:rPr>
                <w:sz w:val="16"/>
              </w:rPr>
              <w:t>Intranet </w:t>
            </w:r>
            <w:r>
              <w:rPr>
                <w:w w:val="95"/>
                <w:sz w:val="16"/>
              </w:rPr>
              <w:t>Annuaire</w:t>
            </w:r>
          </w:p>
        </w:tc>
      </w:tr>
      <w:tr>
        <w:trPr>
          <w:trHeight w:val="547" w:hRule="exact"/>
        </w:trPr>
        <w:tc>
          <w:tcPr>
            <w:tcW w:w="362" w:type="dxa"/>
            <w:vMerge/>
            <w:tcBorders>
              <w:left w:val="single" w:sz="2" w:space="0" w:color="000000"/>
            </w:tcBorders>
          </w:tcPr>
          <w:p>
            <w:pPr/>
          </w:p>
        </w:tc>
        <w:tc>
          <w:tcPr>
            <w:tcW w:w="398" w:type="dxa"/>
            <w:vMerge/>
          </w:tcPr>
          <w:p>
            <w:pPr/>
          </w:p>
        </w:tc>
        <w:tc>
          <w:tcPr>
            <w:tcW w:w="1171" w:type="dxa"/>
          </w:tcPr>
          <w:p>
            <w:pPr>
              <w:pStyle w:val="TableParagraph"/>
              <w:spacing w:line="177" w:lineRule="exact"/>
              <w:ind w:right="100"/>
              <w:rPr>
                <w:sz w:val="16"/>
              </w:rPr>
            </w:pPr>
            <w:r>
              <w:rPr>
                <w:sz w:val="16"/>
              </w:rPr>
              <w:t>Recrutement</w:t>
            </w:r>
          </w:p>
        </w:tc>
        <w:tc>
          <w:tcPr>
            <w:tcW w:w="1848" w:type="dxa"/>
          </w:tcPr>
          <w:p>
            <w:pPr>
              <w:pStyle w:val="TableParagraph"/>
              <w:ind w:left="100" w:right="103"/>
              <w:jc w:val="both"/>
              <w:rPr>
                <w:sz w:val="16"/>
              </w:rPr>
            </w:pPr>
            <w:r>
              <w:rPr>
                <w:sz w:val="16"/>
              </w:rPr>
              <w:t>Proposition d’emploi, mode de recrutement (hors formation)</w:t>
            </w:r>
          </w:p>
        </w:tc>
        <w:tc>
          <w:tcPr>
            <w:tcW w:w="1884" w:type="dxa"/>
            <w:tcBorders>
              <w:right w:val="single" w:sz="2" w:space="0" w:color="000000"/>
            </w:tcBorders>
          </w:tcPr>
          <w:p>
            <w:pPr>
              <w:pStyle w:val="TableParagraph"/>
              <w:spacing w:line="237" w:lineRule="auto"/>
              <w:ind w:left="100" w:right="353"/>
              <w:rPr>
                <w:sz w:val="16"/>
              </w:rPr>
            </w:pPr>
            <w:r>
              <w:rPr>
                <w:sz w:val="16"/>
              </w:rPr>
              <w:t>Offres d’emploi Travailler à l’université</w:t>
            </w:r>
          </w:p>
        </w:tc>
      </w:tr>
      <w:tr>
        <w:trPr>
          <w:trHeight w:val="370" w:hRule="exact"/>
        </w:trPr>
        <w:tc>
          <w:tcPr>
            <w:tcW w:w="362" w:type="dxa"/>
            <w:vMerge/>
            <w:tcBorders>
              <w:left w:val="single" w:sz="2" w:space="0" w:color="000000"/>
            </w:tcBorders>
          </w:tcPr>
          <w:p>
            <w:pPr/>
          </w:p>
        </w:tc>
        <w:tc>
          <w:tcPr>
            <w:tcW w:w="398" w:type="dxa"/>
            <w:vMerge/>
          </w:tcPr>
          <w:p>
            <w:pPr/>
          </w:p>
        </w:tc>
        <w:tc>
          <w:tcPr>
            <w:tcW w:w="1171" w:type="dxa"/>
          </w:tcPr>
          <w:p>
            <w:pPr>
              <w:pStyle w:val="TableParagraph"/>
              <w:tabs>
                <w:tab w:pos="979" w:val="left" w:leader="none"/>
              </w:tabs>
              <w:spacing w:line="242" w:lineRule="auto"/>
              <w:ind w:right="100"/>
              <w:rPr>
                <w:sz w:val="16"/>
              </w:rPr>
            </w:pPr>
            <w:r>
              <w:rPr>
                <w:sz w:val="16"/>
              </w:rPr>
              <w:t>Culture</w:t>
              <w:tab/>
              <w:t>/ loisirs</w:t>
            </w:r>
          </w:p>
        </w:tc>
        <w:tc>
          <w:tcPr>
            <w:tcW w:w="1848" w:type="dxa"/>
          </w:tcPr>
          <w:p>
            <w:pPr>
              <w:pStyle w:val="TableParagraph"/>
              <w:spacing w:line="242" w:lineRule="auto"/>
              <w:ind w:left="100" w:right="105"/>
              <w:rPr>
                <w:sz w:val="16"/>
              </w:rPr>
            </w:pPr>
            <w:r>
              <w:rPr>
                <w:sz w:val="16"/>
              </w:rPr>
              <w:t>Activités liées au culturel, à</w:t>
            </w:r>
            <w:r>
              <w:rPr>
                <w:spacing w:val="-8"/>
                <w:sz w:val="16"/>
              </w:rPr>
              <w:t> </w:t>
            </w:r>
            <w:r>
              <w:rPr>
                <w:sz w:val="16"/>
              </w:rPr>
              <w:t>l’associatif</w:t>
            </w:r>
          </w:p>
        </w:tc>
        <w:tc>
          <w:tcPr>
            <w:tcW w:w="1884" w:type="dxa"/>
            <w:tcBorders>
              <w:right w:val="single" w:sz="2" w:space="0" w:color="000000"/>
            </w:tcBorders>
          </w:tcPr>
          <w:p>
            <w:pPr>
              <w:pStyle w:val="TableParagraph"/>
              <w:spacing w:line="242" w:lineRule="auto"/>
              <w:ind w:left="100" w:right="946"/>
              <w:rPr>
                <w:sz w:val="16"/>
              </w:rPr>
            </w:pPr>
            <w:r>
              <w:rPr>
                <w:sz w:val="16"/>
              </w:rPr>
              <w:t>Atelier photo Ciné-club</w:t>
            </w:r>
          </w:p>
        </w:tc>
      </w:tr>
      <w:tr>
        <w:trPr>
          <w:trHeight w:val="552" w:hRule="exact"/>
        </w:trPr>
        <w:tc>
          <w:tcPr>
            <w:tcW w:w="362" w:type="dxa"/>
            <w:vMerge/>
            <w:tcBorders>
              <w:left w:val="single" w:sz="2" w:space="0" w:color="000000"/>
            </w:tcBorders>
          </w:tcPr>
          <w:p>
            <w:pPr/>
          </w:p>
        </w:tc>
        <w:tc>
          <w:tcPr>
            <w:tcW w:w="398" w:type="dxa"/>
            <w:vMerge/>
          </w:tcPr>
          <w:p>
            <w:pPr/>
          </w:p>
        </w:tc>
        <w:tc>
          <w:tcPr>
            <w:tcW w:w="1171" w:type="dxa"/>
          </w:tcPr>
          <w:p>
            <w:pPr>
              <w:pStyle w:val="TableParagraph"/>
              <w:ind w:right="205"/>
              <w:rPr>
                <w:sz w:val="16"/>
              </w:rPr>
            </w:pPr>
            <w:r>
              <w:rPr>
                <w:w w:val="95"/>
                <w:sz w:val="16"/>
              </w:rPr>
              <w:t>Composantes </w:t>
            </w:r>
            <w:r>
              <w:rPr>
                <w:sz w:val="16"/>
              </w:rPr>
              <w:t>de l’organisation</w:t>
            </w:r>
          </w:p>
        </w:tc>
        <w:tc>
          <w:tcPr>
            <w:tcW w:w="1848" w:type="dxa"/>
          </w:tcPr>
          <w:p>
            <w:pPr>
              <w:pStyle w:val="TableParagraph"/>
              <w:tabs>
                <w:tab w:pos="1411" w:val="left" w:leader="none"/>
              </w:tabs>
              <w:ind w:left="100" w:right="103"/>
              <w:jc w:val="both"/>
              <w:rPr>
                <w:sz w:val="16"/>
              </w:rPr>
            </w:pPr>
            <w:r>
              <w:rPr>
                <w:sz w:val="16"/>
              </w:rPr>
              <w:t>Dimension structurelle de l’organisation</w:t>
              <w:tab/>
              <w:t>(hors activités)</w:t>
            </w:r>
          </w:p>
        </w:tc>
        <w:tc>
          <w:tcPr>
            <w:tcW w:w="1884" w:type="dxa"/>
            <w:tcBorders>
              <w:right w:val="single" w:sz="2" w:space="0" w:color="000000"/>
            </w:tcBorders>
          </w:tcPr>
          <w:p>
            <w:pPr>
              <w:pStyle w:val="TableParagraph"/>
              <w:spacing w:line="242" w:lineRule="auto"/>
              <w:ind w:left="100" w:right="245"/>
              <w:rPr>
                <w:sz w:val="16"/>
              </w:rPr>
            </w:pPr>
            <w:r>
              <w:rPr>
                <w:sz w:val="16"/>
              </w:rPr>
              <w:t>Conseil d’administration Bibliothèque</w:t>
            </w:r>
          </w:p>
        </w:tc>
      </w:tr>
      <w:tr>
        <w:trPr>
          <w:trHeight w:val="730" w:hRule="exact"/>
        </w:trPr>
        <w:tc>
          <w:tcPr>
            <w:tcW w:w="362" w:type="dxa"/>
            <w:vMerge/>
            <w:tcBorders>
              <w:left w:val="single" w:sz="2" w:space="0" w:color="000000"/>
            </w:tcBorders>
          </w:tcPr>
          <w:p>
            <w:pPr/>
          </w:p>
        </w:tc>
        <w:tc>
          <w:tcPr>
            <w:tcW w:w="398" w:type="dxa"/>
            <w:vMerge/>
          </w:tcPr>
          <w:p>
            <w:pPr/>
          </w:p>
        </w:tc>
        <w:tc>
          <w:tcPr>
            <w:tcW w:w="1171" w:type="dxa"/>
          </w:tcPr>
          <w:p>
            <w:pPr>
              <w:pStyle w:val="TableParagraph"/>
              <w:tabs>
                <w:tab w:pos="979" w:val="left" w:leader="none"/>
              </w:tabs>
              <w:spacing w:line="237" w:lineRule="auto"/>
              <w:ind w:right="100"/>
              <w:rPr>
                <w:sz w:val="16"/>
              </w:rPr>
            </w:pPr>
            <w:r>
              <w:rPr>
                <w:sz w:val="16"/>
              </w:rPr>
              <w:t>Logistique</w:t>
              <w:tab/>
              <w:t>/ équipement</w:t>
            </w:r>
          </w:p>
        </w:tc>
        <w:tc>
          <w:tcPr>
            <w:tcW w:w="1848" w:type="dxa"/>
          </w:tcPr>
          <w:p>
            <w:pPr>
              <w:pStyle w:val="TableParagraph"/>
              <w:ind w:left="100" w:right="103"/>
              <w:jc w:val="both"/>
              <w:rPr>
                <w:sz w:val="16"/>
              </w:rPr>
            </w:pPr>
            <w:r>
              <w:rPr>
                <w:sz w:val="16"/>
              </w:rPr>
              <w:t>Mention d’infrastructures techniques et des modalités de gestion de celle-ci</w:t>
            </w:r>
          </w:p>
        </w:tc>
        <w:tc>
          <w:tcPr>
            <w:tcW w:w="1884" w:type="dxa"/>
            <w:tcBorders>
              <w:right w:val="single" w:sz="2" w:space="0" w:color="000000"/>
            </w:tcBorders>
          </w:tcPr>
          <w:p>
            <w:pPr>
              <w:pStyle w:val="TableParagraph"/>
              <w:spacing w:line="237" w:lineRule="auto"/>
              <w:ind w:left="100" w:right="663"/>
              <w:rPr>
                <w:sz w:val="16"/>
              </w:rPr>
            </w:pPr>
            <w:r>
              <w:rPr>
                <w:sz w:val="16"/>
              </w:rPr>
              <w:t>Equipement Réservation salles</w:t>
            </w:r>
          </w:p>
        </w:tc>
      </w:tr>
      <w:tr>
        <w:trPr>
          <w:trHeight w:val="370" w:hRule="exact"/>
        </w:trPr>
        <w:tc>
          <w:tcPr>
            <w:tcW w:w="761" w:type="dxa"/>
            <w:gridSpan w:val="2"/>
            <w:vMerge w:val="restart"/>
            <w:tcBorders>
              <w:left w:val="single" w:sz="2" w:space="0" w:color="000000"/>
            </w:tcBorders>
            <w:textDirection w:val="btLr"/>
          </w:tcPr>
          <w:p>
            <w:pPr>
              <w:pStyle w:val="TableParagraph"/>
              <w:spacing w:before="2"/>
              <w:ind w:left="0"/>
              <w:rPr>
                <w:sz w:val="17"/>
              </w:rPr>
            </w:pPr>
          </w:p>
          <w:p>
            <w:pPr>
              <w:pStyle w:val="TableParagraph"/>
              <w:spacing w:line="178" w:lineRule="exact"/>
              <w:ind w:left="4" w:right="3524"/>
              <w:rPr>
                <w:sz w:val="16"/>
              </w:rPr>
            </w:pPr>
            <w:r>
              <w:rPr>
                <w:spacing w:val="1"/>
                <w:w w:val="99"/>
                <w:sz w:val="16"/>
              </w:rPr>
              <w:t>N</w:t>
            </w:r>
            <w:r>
              <w:rPr>
                <w:w w:val="99"/>
                <w:sz w:val="16"/>
              </w:rPr>
              <w:t>avigation Fonctionnelle</w:t>
            </w:r>
          </w:p>
        </w:tc>
        <w:tc>
          <w:tcPr>
            <w:tcW w:w="1171" w:type="dxa"/>
          </w:tcPr>
          <w:p>
            <w:pPr>
              <w:pStyle w:val="TableParagraph"/>
              <w:spacing w:line="177" w:lineRule="exact"/>
              <w:ind w:right="100"/>
              <w:rPr>
                <w:sz w:val="16"/>
              </w:rPr>
            </w:pPr>
            <w:r>
              <w:rPr>
                <w:sz w:val="16"/>
              </w:rPr>
              <w:t>Accès web</w:t>
            </w:r>
          </w:p>
        </w:tc>
        <w:tc>
          <w:tcPr>
            <w:tcW w:w="1848" w:type="dxa"/>
          </w:tcPr>
          <w:p>
            <w:pPr>
              <w:pStyle w:val="TableParagraph"/>
              <w:spacing w:line="237" w:lineRule="auto"/>
              <w:ind w:left="100"/>
              <w:rPr>
                <w:sz w:val="16"/>
              </w:rPr>
            </w:pPr>
            <w:r>
              <w:rPr>
                <w:sz w:val="16"/>
              </w:rPr>
              <w:t>Navigation en termes d’action dans le site</w:t>
            </w:r>
          </w:p>
        </w:tc>
        <w:tc>
          <w:tcPr>
            <w:tcW w:w="1884" w:type="dxa"/>
            <w:tcBorders>
              <w:right w:val="single" w:sz="2" w:space="0" w:color="000000"/>
            </w:tcBorders>
          </w:tcPr>
          <w:p>
            <w:pPr>
              <w:pStyle w:val="TableParagraph"/>
              <w:spacing w:line="175" w:lineRule="exact"/>
              <w:ind w:left="100"/>
              <w:rPr>
                <w:sz w:val="16"/>
              </w:rPr>
            </w:pPr>
            <w:r>
              <w:rPr>
                <w:sz w:val="16"/>
              </w:rPr>
              <w:t>Cliquer ici</w:t>
            </w:r>
          </w:p>
          <w:p>
            <w:pPr>
              <w:pStyle w:val="TableParagraph"/>
              <w:spacing w:line="179" w:lineRule="exact"/>
              <w:ind w:left="100"/>
              <w:rPr>
                <w:sz w:val="16"/>
              </w:rPr>
            </w:pPr>
            <w:r>
              <w:rPr>
                <w:sz w:val="16"/>
              </w:rPr>
              <w:t>Aller au pied de page</w:t>
            </w:r>
          </w:p>
        </w:tc>
      </w:tr>
      <w:tr>
        <w:trPr>
          <w:trHeight w:val="370" w:hRule="exact"/>
        </w:trPr>
        <w:tc>
          <w:tcPr>
            <w:tcW w:w="761" w:type="dxa"/>
            <w:gridSpan w:val="2"/>
            <w:vMerge/>
            <w:tcBorders>
              <w:left w:val="single" w:sz="2" w:space="0" w:color="000000"/>
            </w:tcBorders>
            <w:textDirection w:val="btLr"/>
          </w:tcPr>
          <w:p>
            <w:pPr/>
          </w:p>
        </w:tc>
        <w:tc>
          <w:tcPr>
            <w:tcW w:w="1171" w:type="dxa"/>
          </w:tcPr>
          <w:p>
            <w:pPr>
              <w:pStyle w:val="TableParagraph"/>
              <w:spacing w:line="177" w:lineRule="exact"/>
              <w:ind w:right="100"/>
              <w:rPr>
                <w:sz w:val="16"/>
              </w:rPr>
            </w:pPr>
            <w:r>
              <w:rPr>
                <w:sz w:val="16"/>
              </w:rPr>
              <w:t>Contacts</w:t>
            </w:r>
          </w:p>
        </w:tc>
        <w:tc>
          <w:tcPr>
            <w:tcW w:w="1848" w:type="dxa"/>
          </w:tcPr>
          <w:p>
            <w:pPr>
              <w:pStyle w:val="TableParagraph"/>
              <w:spacing w:line="177" w:lineRule="exact"/>
              <w:ind w:left="100"/>
              <w:rPr>
                <w:sz w:val="16"/>
              </w:rPr>
            </w:pPr>
            <w:r>
              <w:rPr>
                <w:sz w:val="16"/>
              </w:rPr>
              <w:t>Renvoi sur un contact</w:t>
            </w:r>
          </w:p>
        </w:tc>
        <w:tc>
          <w:tcPr>
            <w:tcW w:w="1884" w:type="dxa"/>
            <w:tcBorders>
              <w:right w:val="single" w:sz="2" w:space="0" w:color="000000"/>
            </w:tcBorders>
          </w:tcPr>
          <w:p>
            <w:pPr>
              <w:pStyle w:val="TableParagraph"/>
              <w:spacing w:line="242" w:lineRule="auto"/>
              <w:ind w:left="100" w:right="799"/>
              <w:rPr>
                <w:sz w:val="16"/>
              </w:rPr>
            </w:pPr>
            <w:r>
              <w:rPr>
                <w:sz w:val="16"/>
              </w:rPr>
              <w:t>Nous écrire </w:t>
            </w:r>
            <w:r>
              <w:rPr>
                <w:w w:val="95"/>
                <w:sz w:val="16"/>
              </w:rPr>
              <w:t>Contactez-nous</w:t>
            </w:r>
          </w:p>
        </w:tc>
      </w:tr>
      <w:tr>
        <w:trPr>
          <w:trHeight w:val="730" w:hRule="exact"/>
        </w:trPr>
        <w:tc>
          <w:tcPr>
            <w:tcW w:w="761" w:type="dxa"/>
            <w:gridSpan w:val="2"/>
            <w:vMerge/>
            <w:tcBorders>
              <w:left w:val="single" w:sz="2" w:space="0" w:color="000000"/>
            </w:tcBorders>
            <w:textDirection w:val="btLr"/>
          </w:tcPr>
          <w:p>
            <w:pPr/>
          </w:p>
        </w:tc>
        <w:tc>
          <w:tcPr>
            <w:tcW w:w="1171" w:type="dxa"/>
          </w:tcPr>
          <w:p>
            <w:pPr>
              <w:pStyle w:val="TableParagraph"/>
              <w:spacing w:line="177" w:lineRule="exact"/>
              <w:ind w:right="100"/>
              <w:rPr>
                <w:sz w:val="16"/>
              </w:rPr>
            </w:pPr>
            <w:r>
              <w:rPr>
                <w:sz w:val="16"/>
              </w:rPr>
              <w:t>Technologies</w:t>
            </w:r>
          </w:p>
        </w:tc>
        <w:tc>
          <w:tcPr>
            <w:tcW w:w="1848" w:type="dxa"/>
          </w:tcPr>
          <w:p>
            <w:pPr>
              <w:pStyle w:val="TableParagraph"/>
              <w:ind w:left="100" w:right="103"/>
              <w:jc w:val="both"/>
              <w:rPr>
                <w:sz w:val="16"/>
              </w:rPr>
            </w:pPr>
            <w:r>
              <w:rPr>
                <w:sz w:val="16"/>
              </w:rPr>
              <w:t>Renvoi sur des formats, langages, ou outils informatiques (hors outils web 2.0)</w:t>
            </w:r>
          </w:p>
        </w:tc>
        <w:tc>
          <w:tcPr>
            <w:tcW w:w="1884" w:type="dxa"/>
            <w:tcBorders>
              <w:right w:val="single" w:sz="2" w:space="0" w:color="000000"/>
            </w:tcBorders>
          </w:tcPr>
          <w:p>
            <w:pPr>
              <w:pStyle w:val="TableParagraph"/>
              <w:spacing w:line="242" w:lineRule="auto"/>
              <w:ind w:left="100" w:right="690"/>
              <w:rPr>
                <w:sz w:val="16"/>
              </w:rPr>
            </w:pPr>
            <w:r>
              <w:rPr>
                <w:sz w:val="16"/>
              </w:rPr>
              <w:t>Joomla Template XHTML 1.0</w:t>
            </w:r>
          </w:p>
        </w:tc>
      </w:tr>
      <w:tr>
        <w:trPr>
          <w:trHeight w:val="370" w:hRule="exact"/>
        </w:trPr>
        <w:tc>
          <w:tcPr>
            <w:tcW w:w="761" w:type="dxa"/>
            <w:gridSpan w:val="2"/>
            <w:vMerge/>
            <w:tcBorders>
              <w:left w:val="single" w:sz="2" w:space="0" w:color="000000"/>
            </w:tcBorders>
            <w:textDirection w:val="btLr"/>
          </w:tcPr>
          <w:p>
            <w:pPr/>
          </w:p>
        </w:tc>
        <w:tc>
          <w:tcPr>
            <w:tcW w:w="1171" w:type="dxa"/>
          </w:tcPr>
          <w:p>
            <w:pPr>
              <w:pStyle w:val="TableParagraph"/>
              <w:spacing w:line="242" w:lineRule="auto"/>
              <w:ind w:right="100"/>
              <w:rPr>
                <w:sz w:val="16"/>
              </w:rPr>
            </w:pPr>
            <w:r>
              <w:rPr>
                <w:sz w:val="16"/>
              </w:rPr>
              <w:t>Accès </w:t>
            </w:r>
            <w:r>
              <w:rPr>
                <w:w w:val="95"/>
                <w:sz w:val="16"/>
              </w:rPr>
              <w:t>géographique</w:t>
            </w:r>
          </w:p>
        </w:tc>
        <w:tc>
          <w:tcPr>
            <w:tcW w:w="1848" w:type="dxa"/>
          </w:tcPr>
          <w:p>
            <w:pPr>
              <w:pStyle w:val="TableParagraph"/>
              <w:spacing w:line="242" w:lineRule="auto"/>
              <w:ind w:left="100" w:right="95"/>
              <w:rPr>
                <w:sz w:val="16"/>
              </w:rPr>
            </w:pPr>
            <w:r>
              <w:rPr>
                <w:sz w:val="16"/>
              </w:rPr>
              <w:t>Indications géographiques d’accès au site physique</w:t>
            </w:r>
          </w:p>
        </w:tc>
        <w:tc>
          <w:tcPr>
            <w:tcW w:w="1884" w:type="dxa"/>
            <w:tcBorders>
              <w:right w:val="single" w:sz="2" w:space="0" w:color="000000"/>
            </w:tcBorders>
          </w:tcPr>
          <w:p>
            <w:pPr>
              <w:pStyle w:val="TableParagraph"/>
              <w:spacing w:line="242" w:lineRule="auto"/>
              <w:ind w:left="100" w:right="1005"/>
              <w:rPr>
                <w:sz w:val="16"/>
              </w:rPr>
            </w:pPr>
            <w:r>
              <w:rPr>
                <w:sz w:val="16"/>
              </w:rPr>
              <w:t>Plan d’accès Localisation</w:t>
            </w:r>
          </w:p>
        </w:tc>
      </w:tr>
      <w:tr>
        <w:trPr>
          <w:trHeight w:val="730" w:hRule="exact"/>
        </w:trPr>
        <w:tc>
          <w:tcPr>
            <w:tcW w:w="761" w:type="dxa"/>
            <w:gridSpan w:val="2"/>
            <w:vMerge/>
            <w:tcBorders>
              <w:left w:val="single" w:sz="2" w:space="0" w:color="000000"/>
            </w:tcBorders>
            <w:textDirection w:val="btLr"/>
          </w:tcPr>
          <w:p>
            <w:pPr/>
          </w:p>
        </w:tc>
        <w:tc>
          <w:tcPr>
            <w:tcW w:w="1171" w:type="dxa"/>
          </w:tcPr>
          <w:p>
            <w:pPr>
              <w:pStyle w:val="TableParagraph"/>
              <w:tabs>
                <w:tab w:pos="912" w:val="left" w:leader="none"/>
              </w:tabs>
              <w:ind w:right="100"/>
              <w:rPr>
                <w:sz w:val="16"/>
              </w:rPr>
            </w:pPr>
            <w:r>
              <w:rPr>
                <w:sz w:val="16"/>
              </w:rPr>
              <w:t>Outils</w:t>
              <w:tab/>
              <w:t>de communicatio n</w:t>
            </w:r>
            <w:r>
              <w:rPr>
                <w:spacing w:val="-3"/>
                <w:sz w:val="16"/>
              </w:rPr>
              <w:t> </w:t>
            </w:r>
            <w:r>
              <w:rPr>
                <w:sz w:val="16"/>
              </w:rPr>
              <w:t>web</w:t>
            </w:r>
          </w:p>
        </w:tc>
        <w:tc>
          <w:tcPr>
            <w:tcW w:w="1848" w:type="dxa"/>
          </w:tcPr>
          <w:p>
            <w:pPr>
              <w:pStyle w:val="TableParagraph"/>
              <w:ind w:left="100" w:right="103"/>
              <w:jc w:val="both"/>
              <w:rPr>
                <w:sz w:val="16"/>
              </w:rPr>
            </w:pPr>
            <w:r>
              <w:rPr>
                <w:sz w:val="16"/>
              </w:rPr>
              <w:t>Renvoi sur des outils d’échange et de communication   du  web</w:t>
            </w:r>
          </w:p>
          <w:p>
            <w:pPr>
              <w:pStyle w:val="TableParagraph"/>
              <w:spacing w:before="2"/>
              <w:ind w:left="100"/>
              <w:jc w:val="both"/>
              <w:rPr>
                <w:sz w:val="16"/>
              </w:rPr>
            </w:pPr>
            <w:r>
              <w:rPr>
                <w:sz w:val="16"/>
              </w:rPr>
              <w:t>1.0 et 2.0</w:t>
            </w:r>
          </w:p>
        </w:tc>
        <w:tc>
          <w:tcPr>
            <w:tcW w:w="1884" w:type="dxa"/>
            <w:tcBorders>
              <w:right w:val="single" w:sz="2" w:space="0" w:color="000000"/>
            </w:tcBorders>
          </w:tcPr>
          <w:p>
            <w:pPr>
              <w:pStyle w:val="TableParagraph"/>
              <w:spacing w:line="177" w:lineRule="exact"/>
              <w:ind w:left="100"/>
              <w:rPr>
                <w:sz w:val="16"/>
              </w:rPr>
            </w:pPr>
            <w:r>
              <w:rPr>
                <w:sz w:val="16"/>
              </w:rPr>
              <w:t>Flux RSS</w:t>
            </w:r>
          </w:p>
          <w:p>
            <w:pPr>
              <w:pStyle w:val="TableParagraph"/>
              <w:spacing w:before="2"/>
              <w:ind w:left="100"/>
              <w:rPr>
                <w:sz w:val="16"/>
              </w:rPr>
            </w:pPr>
            <w:r>
              <w:rPr>
                <w:sz w:val="16"/>
              </w:rPr>
              <w:t>Liste de diffusion</w:t>
            </w:r>
          </w:p>
        </w:tc>
      </w:tr>
      <w:tr>
        <w:trPr>
          <w:trHeight w:val="730" w:hRule="exact"/>
        </w:trPr>
        <w:tc>
          <w:tcPr>
            <w:tcW w:w="761" w:type="dxa"/>
            <w:gridSpan w:val="2"/>
            <w:vMerge/>
            <w:tcBorders>
              <w:left w:val="single" w:sz="2" w:space="0" w:color="000000"/>
            </w:tcBorders>
            <w:textDirection w:val="btLr"/>
          </w:tcPr>
          <w:p>
            <w:pPr/>
          </w:p>
        </w:tc>
        <w:tc>
          <w:tcPr>
            <w:tcW w:w="1171" w:type="dxa"/>
          </w:tcPr>
          <w:p>
            <w:pPr>
              <w:pStyle w:val="TableParagraph"/>
              <w:spacing w:line="242" w:lineRule="auto"/>
              <w:ind w:right="110"/>
              <w:rPr>
                <w:sz w:val="16"/>
              </w:rPr>
            </w:pPr>
            <w:r>
              <w:rPr>
                <w:w w:val="95"/>
                <w:sz w:val="16"/>
              </w:rPr>
              <w:t>Authentificatio </w:t>
            </w:r>
            <w:r>
              <w:rPr>
                <w:sz w:val="16"/>
              </w:rPr>
              <w:t>n</w:t>
            </w:r>
          </w:p>
        </w:tc>
        <w:tc>
          <w:tcPr>
            <w:tcW w:w="1848" w:type="dxa"/>
          </w:tcPr>
          <w:p>
            <w:pPr>
              <w:pStyle w:val="TableParagraph"/>
              <w:tabs>
                <w:tab w:pos="885" w:val="left" w:leader="none"/>
                <w:tab w:pos="1309" w:val="left" w:leader="none"/>
                <w:tab w:pos="1422" w:val="left" w:leader="none"/>
              </w:tabs>
              <w:ind w:left="100" w:right="103"/>
              <w:rPr>
                <w:sz w:val="16"/>
              </w:rPr>
            </w:pPr>
            <w:r>
              <w:rPr>
                <w:sz w:val="16"/>
              </w:rPr>
              <w:t>Procédure d’authentification</w:t>
              <w:tab/>
              <w:tab/>
              <w:t>(sans mention</w:t>
              <w:tab/>
              <w:t>du</w:t>
              <w:tab/>
              <w:t>service associé)</w:t>
            </w:r>
          </w:p>
        </w:tc>
        <w:tc>
          <w:tcPr>
            <w:tcW w:w="1884" w:type="dxa"/>
            <w:tcBorders>
              <w:right w:val="single" w:sz="2" w:space="0" w:color="000000"/>
            </w:tcBorders>
          </w:tcPr>
          <w:p>
            <w:pPr>
              <w:pStyle w:val="TableParagraph"/>
              <w:spacing w:line="177" w:lineRule="exact"/>
              <w:ind w:left="100"/>
              <w:rPr>
                <w:sz w:val="16"/>
              </w:rPr>
            </w:pPr>
            <w:r>
              <w:rPr>
                <w:sz w:val="16"/>
              </w:rPr>
              <w:t>Identifiez-vous</w:t>
            </w:r>
          </w:p>
          <w:p>
            <w:pPr>
              <w:pStyle w:val="TableParagraph"/>
              <w:spacing w:before="2"/>
              <w:ind w:left="100"/>
              <w:rPr>
                <w:sz w:val="16"/>
              </w:rPr>
            </w:pPr>
            <w:r>
              <w:rPr>
                <w:sz w:val="16"/>
              </w:rPr>
              <w:t>Mot de passe oublié ?</w:t>
            </w:r>
          </w:p>
        </w:tc>
      </w:tr>
      <w:tr>
        <w:trPr>
          <w:trHeight w:val="552" w:hRule="exact"/>
        </w:trPr>
        <w:tc>
          <w:tcPr>
            <w:tcW w:w="761" w:type="dxa"/>
            <w:gridSpan w:val="2"/>
            <w:vMerge/>
            <w:tcBorders>
              <w:left w:val="single" w:sz="2" w:space="0" w:color="000000"/>
            </w:tcBorders>
            <w:textDirection w:val="btLr"/>
          </w:tcPr>
          <w:p>
            <w:pPr/>
          </w:p>
        </w:tc>
        <w:tc>
          <w:tcPr>
            <w:tcW w:w="1171" w:type="dxa"/>
          </w:tcPr>
          <w:p>
            <w:pPr>
              <w:pStyle w:val="TableParagraph"/>
              <w:spacing w:line="242" w:lineRule="auto"/>
              <w:ind w:right="450"/>
              <w:rPr>
                <w:sz w:val="16"/>
              </w:rPr>
            </w:pPr>
            <w:r>
              <w:rPr>
                <w:sz w:val="16"/>
              </w:rPr>
              <w:t>Mentions légales</w:t>
            </w:r>
          </w:p>
        </w:tc>
        <w:tc>
          <w:tcPr>
            <w:tcW w:w="1848" w:type="dxa"/>
          </w:tcPr>
          <w:p>
            <w:pPr>
              <w:pStyle w:val="TableParagraph"/>
              <w:ind w:left="100" w:right="103"/>
              <w:jc w:val="both"/>
              <w:rPr>
                <w:sz w:val="16"/>
              </w:rPr>
            </w:pPr>
            <w:r>
              <w:rPr>
                <w:sz w:val="16"/>
              </w:rPr>
              <w:t>Renvoi sur des mentions, informations obligatoires et légales</w:t>
            </w:r>
          </w:p>
        </w:tc>
        <w:tc>
          <w:tcPr>
            <w:tcW w:w="1884" w:type="dxa"/>
            <w:tcBorders>
              <w:right w:val="single" w:sz="2" w:space="0" w:color="000000"/>
            </w:tcBorders>
          </w:tcPr>
          <w:p>
            <w:pPr>
              <w:pStyle w:val="TableParagraph"/>
              <w:spacing w:line="242" w:lineRule="auto"/>
              <w:ind w:left="100" w:right="102"/>
              <w:rPr>
                <w:sz w:val="16"/>
              </w:rPr>
            </w:pPr>
            <w:r>
              <w:rPr>
                <w:sz w:val="16"/>
              </w:rPr>
              <w:t>Crédits et mentions légales Législation</w:t>
            </w:r>
          </w:p>
        </w:tc>
      </w:tr>
      <w:tr>
        <w:trPr>
          <w:trHeight w:val="552" w:hRule="exact"/>
        </w:trPr>
        <w:tc>
          <w:tcPr>
            <w:tcW w:w="761" w:type="dxa"/>
            <w:gridSpan w:val="2"/>
            <w:vMerge/>
            <w:tcBorders>
              <w:left w:val="single" w:sz="2" w:space="0" w:color="000000"/>
            </w:tcBorders>
            <w:textDirection w:val="btLr"/>
          </w:tcPr>
          <w:p>
            <w:pPr/>
          </w:p>
        </w:tc>
        <w:tc>
          <w:tcPr>
            <w:tcW w:w="1171" w:type="dxa"/>
          </w:tcPr>
          <w:p>
            <w:pPr>
              <w:pStyle w:val="TableParagraph"/>
              <w:spacing w:line="242" w:lineRule="auto"/>
              <w:ind w:right="380"/>
              <w:rPr>
                <w:sz w:val="16"/>
              </w:rPr>
            </w:pPr>
            <w:r>
              <w:rPr>
                <w:sz w:val="16"/>
              </w:rPr>
              <w:t>Fonction rechercher</w:t>
            </w:r>
          </w:p>
        </w:tc>
        <w:tc>
          <w:tcPr>
            <w:tcW w:w="1848" w:type="dxa"/>
          </w:tcPr>
          <w:p>
            <w:pPr>
              <w:pStyle w:val="TableParagraph"/>
              <w:ind w:left="100" w:right="104"/>
              <w:jc w:val="both"/>
              <w:rPr>
                <w:sz w:val="16"/>
              </w:rPr>
            </w:pPr>
            <w:r>
              <w:rPr>
                <w:sz w:val="16"/>
              </w:rPr>
              <w:t>Renvoi sur la fonction de recherche (sur/hors du site)</w:t>
            </w:r>
          </w:p>
        </w:tc>
        <w:tc>
          <w:tcPr>
            <w:tcW w:w="1884" w:type="dxa"/>
            <w:tcBorders>
              <w:right w:val="single" w:sz="2" w:space="0" w:color="000000"/>
            </w:tcBorders>
          </w:tcPr>
          <w:p>
            <w:pPr>
              <w:pStyle w:val="TableParagraph"/>
              <w:spacing w:line="177" w:lineRule="exact"/>
              <w:ind w:left="100"/>
              <w:rPr>
                <w:sz w:val="16"/>
              </w:rPr>
            </w:pPr>
            <w:r>
              <w:rPr>
                <w:sz w:val="16"/>
              </w:rPr>
              <w:t>Rechercher</w:t>
            </w:r>
          </w:p>
          <w:p>
            <w:pPr>
              <w:pStyle w:val="TableParagraph"/>
              <w:spacing w:before="2"/>
              <w:ind w:left="100"/>
              <w:rPr>
                <w:sz w:val="16"/>
              </w:rPr>
            </w:pPr>
            <w:r>
              <w:rPr>
                <w:sz w:val="16"/>
              </w:rPr>
              <w:t>Moteur de recherche</w:t>
            </w:r>
          </w:p>
        </w:tc>
      </w:tr>
      <w:tr>
        <w:trPr>
          <w:trHeight w:val="547" w:hRule="exact"/>
        </w:trPr>
        <w:tc>
          <w:tcPr>
            <w:tcW w:w="761" w:type="dxa"/>
            <w:gridSpan w:val="2"/>
            <w:vMerge w:val="restart"/>
            <w:tcBorders>
              <w:left w:val="single" w:sz="2" w:space="0" w:color="000000"/>
            </w:tcBorders>
            <w:textDirection w:val="btLr"/>
          </w:tcPr>
          <w:p>
            <w:pPr>
              <w:pStyle w:val="TableParagraph"/>
              <w:spacing w:before="2"/>
              <w:ind w:left="0"/>
              <w:rPr>
                <w:sz w:val="17"/>
              </w:rPr>
            </w:pPr>
          </w:p>
          <w:p>
            <w:pPr>
              <w:pStyle w:val="TableParagraph"/>
              <w:spacing w:line="178" w:lineRule="exact"/>
              <w:ind w:left="4" w:right="390"/>
              <w:rPr>
                <w:sz w:val="16"/>
              </w:rPr>
            </w:pPr>
            <w:r>
              <w:rPr>
                <w:spacing w:val="1"/>
                <w:w w:val="99"/>
                <w:sz w:val="16"/>
              </w:rPr>
              <w:t>N</w:t>
            </w:r>
            <w:r>
              <w:rPr>
                <w:w w:val="99"/>
                <w:sz w:val="16"/>
              </w:rPr>
              <w:t>avigation par</w:t>
            </w:r>
            <w:r>
              <w:rPr>
                <w:sz w:val="16"/>
              </w:rPr>
              <w:t> </w:t>
            </w:r>
            <w:r>
              <w:rPr>
                <w:w w:val="99"/>
                <w:sz w:val="16"/>
              </w:rPr>
              <w:t>profils</w:t>
            </w:r>
          </w:p>
        </w:tc>
        <w:tc>
          <w:tcPr>
            <w:tcW w:w="1171" w:type="dxa"/>
          </w:tcPr>
          <w:p>
            <w:pPr>
              <w:pStyle w:val="TableParagraph"/>
              <w:spacing w:line="237" w:lineRule="auto"/>
              <w:ind w:right="100"/>
              <w:rPr>
                <w:sz w:val="16"/>
              </w:rPr>
            </w:pPr>
            <w:r>
              <w:rPr>
                <w:sz w:val="16"/>
              </w:rPr>
              <w:t>Profil </w:t>
            </w:r>
            <w:r>
              <w:rPr>
                <w:w w:val="95"/>
                <w:sz w:val="16"/>
              </w:rPr>
              <w:t>utilisateurs</w:t>
            </w:r>
          </w:p>
        </w:tc>
        <w:tc>
          <w:tcPr>
            <w:tcW w:w="1848" w:type="dxa"/>
          </w:tcPr>
          <w:p>
            <w:pPr>
              <w:pStyle w:val="TableParagraph"/>
              <w:ind w:left="100" w:right="104"/>
              <w:jc w:val="both"/>
              <w:rPr>
                <w:sz w:val="16"/>
              </w:rPr>
            </w:pPr>
            <w:r>
              <w:rPr>
                <w:sz w:val="16"/>
              </w:rPr>
              <w:t>Renvoi sur un espace dédié à un profil précis d’utilisateurs</w:t>
            </w:r>
          </w:p>
        </w:tc>
        <w:tc>
          <w:tcPr>
            <w:tcW w:w="1884" w:type="dxa"/>
            <w:tcBorders>
              <w:right w:val="single" w:sz="2" w:space="0" w:color="000000"/>
            </w:tcBorders>
          </w:tcPr>
          <w:p>
            <w:pPr>
              <w:pStyle w:val="TableParagraph"/>
              <w:ind w:left="100" w:right="623"/>
              <w:rPr>
                <w:sz w:val="16"/>
              </w:rPr>
            </w:pPr>
            <w:r>
              <w:rPr>
                <w:sz w:val="16"/>
              </w:rPr>
              <w:t>Espace Entreprise Futur étudiant Accès étudiants</w:t>
            </w:r>
          </w:p>
        </w:tc>
      </w:tr>
      <w:tr>
        <w:trPr>
          <w:trHeight w:val="552" w:hRule="exact"/>
        </w:trPr>
        <w:tc>
          <w:tcPr>
            <w:tcW w:w="761" w:type="dxa"/>
            <w:gridSpan w:val="2"/>
            <w:vMerge/>
            <w:tcBorders>
              <w:left w:val="single" w:sz="2" w:space="0" w:color="000000"/>
            </w:tcBorders>
            <w:textDirection w:val="btLr"/>
          </w:tcPr>
          <w:p>
            <w:pPr/>
          </w:p>
        </w:tc>
        <w:tc>
          <w:tcPr>
            <w:tcW w:w="1171" w:type="dxa"/>
          </w:tcPr>
          <w:p>
            <w:pPr>
              <w:pStyle w:val="TableParagraph"/>
              <w:spacing w:line="242" w:lineRule="auto"/>
              <w:ind w:right="100"/>
              <w:rPr>
                <w:sz w:val="16"/>
              </w:rPr>
            </w:pPr>
            <w:r>
              <w:rPr>
                <w:sz w:val="16"/>
              </w:rPr>
              <w:t>Profils </w:t>
            </w:r>
            <w:r>
              <w:rPr>
                <w:w w:val="95"/>
                <w:sz w:val="16"/>
              </w:rPr>
              <w:t>linguistiques</w:t>
            </w:r>
          </w:p>
        </w:tc>
        <w:tc>
          <w:tcPr>
            <w:tcW w:w="1848" w:type="dxa"/>
          </w:tcPr>
          <w:p>
            <w:pPr>
              <w:pStyle w:val="TableParagraph"/>
              <w:ind w:left="100" w:right="104"/>
              <w:jc w:val="both"/>
              <w:rPr>
                <w:sz w:val="16"/>
              </w:rPr>
            </w:pPr>
            <w:r>
              <w:rPr>
                <w:sz w:val="16"/>
              </w:rPr>
              <w:t>Renvoi sur l’interface traduite dans la langue concernée</w:t>
            </w:r>
          </w:p>
        </w:tc>
        <w:tc>
          <w:tcPr>
            <w:tcW w:w="1884" w:type="dxa"/>
            <w:tcBorders>
              <w:right w:val="single" w:sz="2" w:space="0" w:color="000000"/>
            </w:tcBorders>
          </w:tcPr>
          <w:p>
            <w:pPr>
              <w:pStyle w:val="TableParagraph"/>
              <w:spacing w:line="242" w:lineRule="auto"/>
              <w:ind w:left="100" w:right="1570"/>
              <w:rPr>
                <w:sz w:val="16"/>
              </w:rPr>
            </w:pPr>
            <w:r>
              <w:rPr>
                <w:sz w:val="16"/>
              </w:rPr>
              <w:t>En fr</w:t>
            </w:r>
          </w:p>
        </w:tc>
      </w:tr>
    </w:tbl>
    <w:p>
      <w:pPr>
        <w:spacing w:line="177" w:lineRule="exact" w:before="0"/>
        <w:ind w:left="440" w:right="1527" w:firstLine="0"/>
        <w:jc w:val="left"/>
        <w:rPr>
          <w:i/>
          <w:sz w:val="16"/>
        </w:rPr>
      </w:pPr>
      <w:r>
        <w:rPr>
          <w:i/>
          <w:sz w:val="16"/>
        </w:rPr>
        <w:t>Tableau 1 : Définition des principales classes de la taxonomie</w:t>
      </w:r>
    </w:p>
    <w:p>
      <w:pPr>
        <w:spacing w:after="0" w:line="177" w:lineRule="exact"/>
        <w:jc w:val="left"/>
        <w:rPr>
          <w:sz w:val="16"/>
        </w:rPr>
        <w:sectPr>
          <w:pgSz w:w="9080" w:h="13610"/>
          <w:pgMar w:header="822" w:footer="966" w:top="1020" w:bottom="1160" w:left="1260" w:right="1260"/>
        </w:sectPr>
      </w:pPr>
    </w:p>
    <w:p>
      <w:pPr>
        <w:pStyle w:val="BodyText"/>
        <w:rPr>
          <w:i/>
          <w:sz w:val="20"/>
        </w:rPr>
      </w:pPr>
    </w:p>
    <w:p>
      <w:pPr>
        <w:pStyle w:val="BodyText"/>
        <w:rPr>
          <w:i/>
          <w:sz w:val="20"/>
        </w:rPr>
      </w:pPr>
    </w:p>
    <w:p>
      <w:pPr>
        <w:pStyle w:val="BodyText"/>
        <w:spacing w:before="7"/>
        <w:rPr>
          <w:i/>
          <w:sz w:val="20"/>
        </w:rPr>
      </w:pPr>
    </w:p>
    <w:p>
      <w:pPr>
        <w:pStyle w:val="BodyText"/>
        <w:spacing w:line="254" w:lineRule="auto"/>
        <w:ind w:left="440" w:right="442"/>
        <w:jc w:val="both"/>
      </w:pPr>
      <w:r>
        <w:rPr>
          <w:w w:val="105"/>
        </w:rPr>
        <w:t>Il est à noter que certaines ULH ne peuvent être classées actuellement et ce, pour trois raisons principales :</w:t>
      </w:r>
    </w:p>
    <w:p>
      <w:pPr>
        <w:pStyle w:val="ListParagraph"/>
        <w:numPr>
          <w:ilvl w:val="0"/>
          <w:numId w:val="3"/>
        </w:numPr>
        <w:tabs>
          <w:tab w:pos="566" w:val="left" w:leader="none"/>
        </w:tabs>
        <w:spacing w:line="254" w:lineRule="auto" w:before="0" w:after="0"/>
        <w:ind w:left="440" w:right="442" w:firstLine="0"/>
        <w:jc w:val="both"/>
        <w:rPr>
          <w:sz w:val="19"/>
        </w:rPr>
      </w:pPr>
      <w:r>
        <w:rPr>
          <w:w w:val="105"/>
          <w:sz w:val="19"/>
        </w:rPr>
        <w:t>ULH rejetées : certaines ULH renvoient à des mentions marginales ou anecdotiques (par exemple, « âme du bâtiment ») qui ne peuvent entrer dans un recensement terminologique dont la finalité est d’aboutir à une normalisation.</w:t>
      </w:r>
    </w:p>
    <w:p>
      <w:pPr>
        <w:pStyle w:val="ListParagraph"/>
        <w:numPr>
          <w:ilvl w:val="0"/>
          <w:numId w:val="3"/>
        </w:numPr>
        <w:tabs>
          <w:tab w:pos="560" w:val="left" w:leader="none"/>
        </w:tabs>
        <w:spacing w:line="247" w:lineRule="auto" w:before="0" w:after="0"/>
        <w:ind w:left="440" w:right="442" w:firstLine="0"/>
        <w:jc w:val="both"/>
        <w:rPr>
          <w:sz w:val="19"/>
        </w:rPr>
      </w:pPr>
      <w:r>
        <w:rPr>
          <w:w w:val="105"/>
          <w:sz w:val="19"/>
        </w:rPr>
        <w:t>ULH de spécialité : certaines ULH renvoient à des termes relatifs à des spécialités  disciplinaires  (par  exemple,  « Nanostructures  Organiques</w:t>
      </w:r>
      <w:r>
        <w:rPr>
          <w:spacing w:val="6"/>
          <w:w w:val="105"/>
          <w:sz w:val="19"/>
        </w:rPr>
        <w:t> </w:t>
      </w:r>
      <w:r>
        <w:rPr>
          <w:w w:val="105"/>
          <w:sz w:val="19"/>
        </w:rPr>
        <w:t>»,</w:t>
      </w:r>
    </w:p>
    <w:p>
      <w:pPr>
        <w:pStyle w:val="BodyText"/>
        <w:spacing w:line="254" w:lineRule="auto" w:before="5"/>
        <w:ind w:left="440" w:right="443"/>
        <w:jc w:val="both"/>
      </w:pPr>
      <w:r>
        <w:rPr>
          <w:w w:val="105"/>
        </w:rPr>
        <w:t>« Harmoniques XUV et impulsions attosecondes ») qu’on pourra tenter d’intégrer ultérieurement dans la taxonomie en s’appuyant sur des référentiels dédiés.</w:t>
      </w:r>
    </w:p>
    <w:p>
      <w:pPr>
        <w:pStyle w:val="ListParagraph"/>
        <w:numPr>
          <w:ilvl w:val="0"/>
          <w:numId w:val="3"/>
        </w:numPr>
        <w:tabs>
          <w:tab w:pos="610" w:val="left" w:leader="none"/>
        </w:tabs>
        <w:spacing w:line="254" w:lineRule="auto" w:before="0" w:after="0"/>
        <w:ind w:left="440" w:right="442" w:firstLine="0"/>
        <w:jc w:val="both"/>
        <w:rPr>
          <w:sz w:val="19"/>
        </w:rPr>
      </w:pPr>
      <w:r>
        <w:rPr>
          <w:w w:val="105"/>
          <w:sz w:val="19"/>
        </w:rPr>
        <w:t>ULH ambiguës : des ULH comme « programme », « équipe » sont évidemment des termes pertinents qu’il serait souhaitable d’intégrer à la taxonomie mais qui, à l’heure actuelle, demeurent ambivalentes sans qualification   par   le   contexte   associé :   relèvent-elles   de   la   </w:t>
      </w:r>
      <w:r>
        <w:rPr>
          <w:spacing w:val="10"/>
          <w:w w:val="105"/>
          <w:sz w:val="19"/>
        </w:rPr>
        <w:t> </w:t>
      </w:r>
      <w:r>
        <w:rPr>
          <w:w w:val="105"/>
          <w:sz w:val="19"/>
        </w:rPr>
        <w:t>classe</w:t>
      </w:r>
    </w:p>
    <w:p>
      <w:pPr>
        <w:pStyle w:val="BodyText"/>
        <w:spacing w:line="254" w:lineRule="auto"/>
        <w:ind w:left="440" w:right="443"/>
        <w:jc w:val="both"/>
      </w:pPr>
      <w:r>
        <w:rPr>
          <w:w w:val="105"/>
        </w:rPr>
        <w:t>« formation », de la classe « recherche » ou d’une autre classe ? Il s’avère donc impossible actuellement de les classer sans risque d’erreur.</w:t>
      </w:r>
    </w:p>
    <w:p>
      <w:pPr>
        <w:pStyle w:val="BodyText"/>
        <w:spacing w:before="10"/>
      </w:pPr>
    </w:p>
    <w:p>
      <w:pPr>
        <w:pStyle w:val="ListParagraph"/>
        <w:numPr>
          <w:ilvl w:val="1"/>
          <w:numId w:val="1"/>
        </w:numPr>
        <w:tabs>
          <w:tab w:pos="783" w:val="left" w:leader="none"/>
        </w:tabs>
        <w:spacing w:line="254" w:lineRule="auto" w:before="1" w:after="0"/>
        <w:ind w:left="440" w:right="442" w:firstLine="0"/>
        <w:jc w:val="left"/>
        <w:rPr>
          <w:sz w:val="19"/>
        </w:rPr>
      </w:pPr>
      <w:r>
        <w:rPr>
          <w:b/>
          <w:w w:val="105"/>
          <w:sz w:val="19"/>
        </w:rPr>
        <w:t>Méthodologie d’analyse et de comparaison des corpus </w:t>
      </w:r>
      <w:r>
        <w:rPr>
          <w:w w:val="105"/>
          <w:sz w:val="19"/>
        </w:rPr>
        <w:t>Concernant le corpus, pour chaque année (2009 et 2011) nous mesurerons les variables suivantes</w:t>
      </w:r>
      <w:r>
        <w:rPr>
          <w:spacing w:val="-7"/>
          <w:w w:val="105"/>
          <w:sz w:val="19"/>
        </w:rPr>
        <w:t> </w:t>
      </w:r>
      <w:r>
        <w:rPr>
          <w:w w:val="105"/>
          <w:sz w:val="19"/>
        </w:rPr>
        <w:t>:</w:t>
      </w:r>
    </w:p>
    <w:p>
      <w:pPr>
        <w:pStyle w:val="ListParagraph"/>
        <w:numPr>
          <w:ilvl w:val="0"/>
          <w:numId w:val="3"/>
        </w:numPr>
        <w:tabs>
          <w:tab w:pos="603" w:val="left" w:leader="none"/>
        </w:tabs>
        <w:spacing w:line="249" w:lineRule="auto" w:before="0" w:after="0"/>
        <w:ind w:left="440" w:right="443" w:firstLine="0"/>
        <w:jc w:val="both"/>
        <w:rPr>
          <w:sz w:val="19"/>
        </w:rPr>
      </w:pPr>
      <w:r>
        <w:rPr>
          <w:w w:val="105"/>
          <w:sz w:val="19"/>
        </w:rPr>
        <w:t>Le nombre d’ULH totales (ie. ULHt) ainsi que le nombre moyen d’ULH par site (nous préciserons l’étendue). Cet indicateur inclut les occurrences.</w:t>
      </w:r>
    </w:p>
    <w:p>
      <w:pPr>
        <w:pStyle w:val="ListParagraph"/>
        <w:numPr>
          <w:ilvl w:val="0"/>
          <w:numId w:val="3"/>
        </w:numPr>
        <w:tabs>
          <w:tab w:pos="641" w:val="left" w:leader="none"/>
        </w:tabs>
        <w:spacing w:line="254" w:lineRule="auto" w:before="3" w:after="0"/>
        <w:ind w:left="440" w:right="443" w:firstLine="0"/>
        <w:jc w:val="both"/>
        <w:rPr>
          <w:sz w:val="19"/>
        </w:rPr>
      </w:pPr>
      <w:r>
        <w:rPr>
          <w:w w:val="105"/>
          <w:sz w:val="19"/>
        </w:rPr>
        <w:t>Le nombre d’ULH distinctes (i.e. ULHd). Les ULH distinctes correspondent aux unités lexicales se distinguant par la forme. Par exemple, « Présentation » / « présentation » / « présentation » correspondent à trois ULH distinctes même si c’est le même terme désigné.</w:t>
      </w:r>
    </w:p>
    <w:p>
      <w:pPr>
        <w:pStyle w:val="ListParagraph"/>
        <w:numPr>
          <w:ilvl w:val="0"/>
          <w:numId w:val="3"/>
        </w:numPr>
        <w:tabs>
          <w:tab w:pos="615" w:val="left" w:leader="none"/>
        </w:tabs>
        <w:spacing w:line="254" w:lineRule="auto" w:before="0" w:after="0"/>
        <w:ind w:left="440" w:right="444" w:firstLine="0"/>
        <w:jc w:val="both"/>
        <w:rPr>
          <w:sz w:val="19"/>
        </w:rPr>
      </w:pPr>
      <w:r>
        <w:rPr>
          <w:w w:val="105"/>
          <w:sz w:val="19"/>
        </w:rPr>
        <w:t>La taille moyenne des ULH en nombre de caractères (espace et ponctuation inclus) (par exemple : « contactez-nous » : ULH de taille  </w:t>
      </w:r>
      <w:r>
        <w:rPr>
          <w:spacing w:val="4"/>
          <w:w w:val="105"/>
          <w:sz w:val="19"/>
        </w:rPr>
        <w:t> </w:t>
      </w:r>
      <w:r>
        <w:rPr>
          <w:w w:val="105"/>
          <w:sz w:val="19"/>
        </w:rPr>
        <w:t>14</w:t>
      </w:r>
    </w:p>
    <w:p>
      <w:pPr>
        <w:pStyle w:val="BodyText"/>
        <w:spacing w:line="208" w:lineRule="exact"/>
        <w:ind w:left="440"/>
        <w:jc w:val="both"/>
      </w:pPr>
      <w:r>
        <w:rPr>
          <w:w w:val="105"/>
        </w:rPr>
        <w:t>/ « programme de recherche » : ULH de taille 22)</w:t>
      </w:r>
    </w:p>
    <w:p>
      <w:pPr>
        <w:pStyle w:val="BodyText"/>
        <w:spacing w:line="254" w:lineRule="auto" w:before="12"/>
        <w:ind w:left="440" w:right="444"/>
        <w:jc w:val="both"/>
      </w:pPr>
      <w:r>
        <w:rPr>
          <w:w w:val="105"/>
        </w:rPr>
        <w:t>Nous effectuerons des comparaisons de moyennes sur ces différents critères. Afin d’étudier l’évolution temporelle du corpus et de la taxonomie, plusieurs analyses seront effectuées :</w:t>
      </w:r>
    </w:p>
    <w:p>
      <w:pPr>
        <w:pStyle w:val="ListParagraph"/>
        <w:numPr>
          <w:ilvl w:val="0"/>
          <w:numId w:val="3"/>
        </w:numPr>
        <w:tabs>
          <w:tab w:pos="561" w:val="left" w:leader="none"/>
        </w:tabs>
        <w:spacing w:line="254" w:lineRule="auto" w:before="0" w:after="0"/>
        <w:ind w:left="440" w:right="444" w:firstLine="0"/>
        <w:jc w:val="both"/>
        <w:rPr>
          <w:sz w:val="19"/>
        </w:rPr>
      </w:pPr>
      <w:r>
        <w:rPr>
          <w:w w:val="105"/>
          <w:sz w:val="19"/>
        </w:rPr>
        <w:t>au plan de la caractérisation du contenu des interfaces pour déterminer les évolutions</w:t>
      </w:r>
      <w:r>
        <w:rPr>
          <w:spacing w:val="-12"/>
          <w:w w:val="105"/>
          <w:sz w:val="19"/>
        </w:rPr>
        <w:t> </w:t>
      </w:r>
      <w:r>
        <w:rPr>
          <w:w w:val="105"/>
          <w:sz w:val="19"/>
        </w:rPr>
        <w:t>quantitatives,</w:t>
      </w:r>
    </w:p>
    <w:p>
      <w:pPr>
        <w:pStyle w:val="ListParagraph"/>
        <w:numPr>
          <w:ilvl w:val="0"/>
          <w:numId w:val="3"/>
        </w:numPr>
        <w:tabs>
          <w:tab w:pos="595" w:val="left" w:leader="none"/>
        </w:tabs>
        <w:spacing w:line="249" w:lineRule="auto" w:before="0" w:after="0"/>
        <w:ind w:left="440" w:right="443" w:firstLine="0"/>
        <w:jc w:val="both"/>
        <w:rPr>
          <w:sz w:val="19"/>
        </w:rPr>
      </w:pPr>
      <w:r>
        <w:rPr>
          <w:w w:val="105"/>
          <w:sz w:val="19"/>
        </w:rPr>
        <w:t>au plan des catégories d’ULH de la taxonomie pour transposer les évolutions précédentes aux catégories informationnelles présentées par les dispositifs et, indirectement, par les</w:t>
      </w:r>
      <w:r>
        <w:rPr>
          <w:spacing w:val="-17"/>
          <w:w w:val="105"/>
          <w:sz w:val="19"/>
        </w:rPr>
        <w:t> </w:t>
      </w:r>
      <w:r>
        <w:rPr>
          <w:w w:val="105"/>
          <w:sz w:val="19"/>
        </w:rPr>
        <w:t>organisations.</w:t>
      </w:r>
    </w:p>
    <w:p>
      <w:pPr>
        <w:pStyle w:val="BodyText"/>
        <w:spacing w:line="254" w:lineRule="auto" w:before="3"/>
        <w:ind w:left="440" w:right="443"/>
        <w:jc w:val="both"/>
      </w:pPr>
      <w:r>
        <w:rPr>
          <w:w w:val="105"/>
        </w:rPr>
        <w:t>De plus, nous précisons le nombre d’ULH t et d en fonction de leur appartenance à 3 types de corpus :</w:t>
      </w:r>
    </w:p>
    <w:p>
      <w:pPr>
        <w:pStyle w:val="ListParagraph"/>
        <w:numPr>
          <w:ilvl w:val="0"/>
          <w:numId w:val="3"/>
        </w:numPr>
        <w:tabs>
          <w:tab w:pos="564" w:val="left" w:leader="none"/>
        </w:tabs>
        <w:spacing w:line="254" w:lineRule="auto" w:before="0" w:after="0"/>
        <w:ind w:left="440" w:right="444" w:firstLine="0"/>
        <w:jc w:val="both"/>
        <w:rPr>
          <w:sz w:val="19"/>
        </w:rPr>
      </w:pPr>
      <w:r>
        <w:rPr>
          <w:w w:val="105"/>
          <w:sz w:val="19"/>
        </w:rPr>
        <w:t>corpus exclusif 2009 : ULH n’apparaissant qu’en 2009 et ayant disparu en</w:t>
      </w:r>
      <w:r>
        <w:rPr>
          <w:spacing w:val="-2"/>
          <w:w w:val="105"/>
          <w:sz w:val="19"/>
        </w:rPr>
        <w:t> </w:t>
      </w:r>
      <w:r>
        <w:rPr>
          <w:w w:val="105"/>
          <w:sz w:val="19"/>
        </w:rPr>
        <w:t>2011</w:t>
      </w:r>
    </w:p>
    <w:p>
      <w:pPr>
        <w:spacing w:after="0" w:line="254" w:lineRule="auto"/>
        <w:jc w:val="both"/>
        <w:rPr>
          <w:sz w:val="19"/>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ListParagraph"/>
        <w:numPr>
          <w:ilvl w:val="0"/>
          <w:numId w:val="3"/>
        </w:numPr>
        <w:tabs>
          <w:tab w:pos="591" w:val="left" w:leader="none"/>
        </w:tabs>
        <w:spacing w:line="254" w:lineRule="auto" w:before="0" w:after="0"/>
        <w:ind w:left="440" w:right="444" w:firstLine="0"/>
        <w:jc w:val="left"/>
        <w:rPr>
          <w:sz w:val="19"/>
        </w:rPr>
      </w:pPr>
      <w:r>
        <w:rPr>
          <w:w w:val="105"/>
          <w:sz w:val="19"/>
        </w:rPr>
        <w:t>corpus commun aux deux années : ULH apparaissant aussi bien en 2009 qu’en</w:t>
      </w:r>
      <w:r>
        <w:rPr>
          <w:spacing w:val="-4"/>
          <w:w w:val="105"/>
          <w:sz w:val="19"/>
        </w:rPr>
        <w:t> </w:t>
      </w:r>
      <w:r>
        <w:rPr>
          <w:w w:val="105"/>
          <w:sz w:val="19"/>
        </w:rPr>
        <w:t>2011</w:t>
      </w:r>
    </w:p>
    <w:p>
      <w:pPr>
        <w:pStyle w:val="ListParagraph"/>
        <w:numPr>
          <w:ilvl w:val="0"/>
          <w:numId w:val="3"/>
        </w:numPr>
        <w:tabs>
          <w:tab w:pos="554" w:val="left" w:leader="none"/>
        </w:tabs>
        <w:spacing w:line="213" w:lineRule="exact" w:before="0" w:after="0"/>
        <w:ind w:left="553" w:right="0" w:hanging="113"/>
        <w:jc w:val="both"/>
        <w:rPr>
          <w:sz w:val="19"/>
        </w:rPr>
      </w:pPr>
      <w:r>
        <w:rPr>
          <w:w w:val="105"/>
          <w:sz w:val="19"/>
        </w:rPr>
        <w:t>corpus exclusif 2011 : ULH n’apparaissant qu’en</w:t>
      </w:r>
      <w:r>
        <w:rPr>
          <w:spacing w:val="-12"/>
          <w:w w:val="105"/>
          <w:sz w:val="19"/>
        </w:rPr>
        <w:t> </w:t>
      </w:r>
      <w:r>
        <w:rPr>
          <w:w w:val="105"/>
          <w:sz w:val="19"/>
        </w:rPr>
        <w:t>2011</w:t>
      </w:r>
    </w:p>
    <w:p>
      <w:pPr>
        <w:pStyle w:val="BodyText"/>
        <w:rPr>
          <w:sz w:val="20"/>
        </w:rPr>
      </w:pPr>
    </w:p>
    <w:p>
      <w:pPr>
        <w:pStyle w:val="BodyText"/>
        <w:spacing w:before="1"/>
        <w:rPr>
          <w:sz w:val="21"/>
        </w:rPr>
      </w:pPr>
    </w:p>
    <w:p>
      <w:pPr>
        <w:pStyle w:val="Heading1"/>
        <w:numPr>
          <w:ilvl w:val="0"/>
          <w:numId w:val="1"/>
        </w:numPr>
        <w:tabs>
          <w:tab w:pos="687" w:val="left" w:leader="none"/>
        </w:tabs>
        <w:spacing w:line="240" w:lineRule="auto" w:before="1" w:after="0"/>
        <w:ind w:left="686" w:right="0" w:hanging="246"/>
        <w:jc w:val="both"/>
      </w:pPr>
      <w:r>
        <w:rPr>
          <w:w w:val="105"/>
        </w:rPr>
        <w:t>Résultats</w:t>
      </w:r>
    </w:p>
    <w:p>
      <w:pPr>
        <w:pStyle w:val="BodyText"/>
        <w:spacing w:before="7"/>
        <w:rPr>
          <w:b/>
          <w:sz w:val="20"/>
        </w:rPr>
      </w:pPr>
    </w:p>
    <w:p>
      <w:pPr>
        <w:pStyle w:val="ListParagraph"/>
        <w:numPr>
          <w:ilvl w:val="1"/>
          <w:numId w:val="1"/>
        </w:numPr>
        <w:tabs>
          <w:tab w:pos="768" w:val="left" w:leader="none"/>
        </w:tabs>
        <w:spacing w:line="240" w:lineRule="auto" w:before="0" w:after="0"/>
        <w:ind w:left="767" w:right="0" w:hanging="327"/>
        <w:jc w:val="both"/>
        <w:rPr>
          <w:b/>
          <w:sz w:val="19"/>
        </w:rPr>
      </w:pPr>
      <w:r>
        <w:rPr>
          <w:b/>
          <w:w w:val="105"/>
          <w:sz w:val="19"/>
        </w:rPr>
        <w:t>Analyse sur le</w:t>
      </w:r>
      <w:r>
        <w:rPr>
          <w:b/>
          <w:spacing w:val="-6"/>
          <w:w w:val="105"/>
          <w:sz w:val="19"/>
        </w:rPr>
        <w:t> </w:t>
      </w:r>
      <w:r>
        <w:rPr>
          <w:b/>
          <w:w w:val="105"/>
          <w:sz w:val="19"/>
        </w:rPr>
        <w:t>corpus</w:t>
      </w:r>
    </w:p>
    <w:p>
      <w:pPr>
        <w:pStyle w:val="BodyText"/>
        <w:spacing w:before="12"/>
        <w:ind w:left="440"/>
        <w:jc w:val="both"/>
      </w:pPr>
      <w:r>
        <w:rPr>
          <w:w w:val="105"/>
        </w:rPr>
        <w:t>4.1.1 Caractéristique des interfaces</w:t>
      </w:r>
    </w:p>
    <w:p>
      <w:pPr>
        <w:pStyle w:val="BodyText"/>
        <w:spacing w:line="254" w:lineRule="auto" w:before="12"/>
        <w:ind w:left="440" w:right="442"/>
        <w:jc w:val="both"/>
      </w:pPr>
      <w:r>
        <w:rPr>
          <w:w w:val="105"/>
        </w:rPr>
        <w:t>Le propose une comparaison concernant les principales données sur les ULH. Une progression, entre les deux années, a été observée sur le nombre moyen d’ULHt par site avec une progression de 136%. Une diminution en 2011 a été observée sur le nombre maximum d’ULHt par site (diminution de 9%).</w:t>
      </w:r>
    </w:p>
    <w:p>
      <w:pPr>
        <w:pStyle w:val="BodyText"/>
        <w:spacing w:before="1" w:after="1"/>
      </w:pPr>
    </w:p>
    <w:tbl>
      <w:tblPr>
        <w:tblW w:w="0" w:type="auto"/>
        <w:jc w:val="left"/>
        <w:tblInd w:w="44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91"/>
        <w:gridCol w:w="2213"/>
        <w:gridCol w:w="2179"/>
      </w:tblGrid>
      <w:tr>
        <w:trPr>
          <w:trHeight w:val="418" w:hRule="exact"/>
        </w:trPr>
        <w:tc>
          <w:tcPr>
            <w:tcW w:w="991" w:type="dxa"/>
            <w:tcBorders>
              <w:bottom w:val="single" w:sz="4" w:space="0" w:color="000000"/>
              <w:right w:val="single" w:sz="4" w:space="0" w:color="000000"/>
            </w:tcBorders>
          </w:tcPr>
          <w:p>
            <w:pP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r>
              <w:rPr>
                <w:w w:val="105"/>
                <w:sz w:val="17"/>
              </w:rPr>
              <w:t>Nb moyen d’ULHt par site</w:t>
            </w:r>
          </w:p>
        </w:tc>
        <w:tc>
          <w:tcPr>
            <w:tcW w:w="2179" w:type="dxa"/>
            <w:tcBorders>
              <w:top w:val="single" w:sz="4" w:space="0" w:color="000000"/>
              <w:left w:val="single" w:sz="4" w:space="0" w:color="000000"/>
              <w:bottom w:val="single" w:sz="4" w:space="0" w:color="000000"/>
              <w:right w:val="single" w:sz="4" w:space="0" w:color="000000"/>
            </w:tcBorders>
          </w:tcPr>
          <w:p>
            <w:pPr>
              <w:pStyle w:val="TableParagraph"/>
              <w:spacing w:line="259" w:lineRule="auto" w:before="7"/>
              <w:ind w:left="100" w:right="426"/>
              <w:rPr>
                <w:sz w:val="17"/>
              </w:rPr>
            </w:pPr>
            <w:r>
              <w:rPr>
                <w:w w:val="105"/>
                <w:sz w:val="17"/>
              </w:rPr>
              <w:t>Etendue du nb d’ULHt par site</w:t>
            </w:r>
          </w:p>
        </w:tc>
      </w:tr>
      <w:tr>
        <w:trPr>
          <w:trHeight w:val="211" w:hRule="exact"/>
        </w:trPr>
        <w:tc>
          <w:tcPr>
            <w:tcW w:w="991" w:type="dxa"/>
            <w:tcBorders>
              <w:top w:val="single" w:sz="4" w:space="0" w:color="000000"/>
              <w:left w:val="single" w:sz="2" w:space="0" w:color="000000"/>
              <w:bottom w:val="single" w:sz="4" w:space="0" w:color="000000"/>
              <w:right w:val="single" w:sz="4" w:space="0" w:color="000000"/>
            </w:tcBorders>
          </w:tcPr>
          <w:p>
            <w:pPr>
              <w:pStyle w:val="TableParagraph"/>
              <w:spacing w:before="7"/>
              <w:rPr>
                <w:sz w:val="17"/>
              </w:rPr>
            </w:pPr>
            <w:r>
              <w:rPr>
                <w:w w:val="105"/>
                <w:sz w:val="17"/>
              </w:rPr>
              <w:t>2009</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r>
              <w:rPr>
                <w:w w:val="105"/>
                <w:sz w:val="17"/>
              </w:rPr>
              <w:t>22</w:t>
            </w:r>
          </w:p>
        </w:tc>
        <w:tc>
          <w:tcPr>
            <w:tcW w:w="2179" w:type="dxa"/>
            <w:tcBorders>
              <w:top w:val="single" w:sz="4" w:space="0" w:color="000000"/>
              <w:left w:val="single" w:sz="4" w:space="0" w:color="000000"/>
              <w:bottom w:val="single" w:sz="4" w:space="0" w:color="000000"/>
              <w:right w:val="single" w:sz="4" w:space="0" w:color="000000"/>
            </w:tcBorders>
          </w:tcPr>
          <w:p>
            <w:pPr>
              <w:pStyle w:val="TableParagraph"/>
              <w:spacing w:before="7"/>
              <w:ind w:left="100" w:right="426"/>
              <w:rPr>
                <w:sz w:val="17"/>
              </w:rPr>
            </w:pPr>
            <w:r>
              <w:rPr>
                <w:w w:val="105"/>
                <w:sz w:val="17"/>
              </w:rPr>
              <w:t>min 1 / max 174</w:t>
            </w:r>
          </w:p>
        </w:tc>
      </w:tr>
      <w:tr>
        <w:trPr>
          <w:trHeight w:val="211" w:hRule="exact"/>
        </w:trPr>
        <w:tc>
          <w:tcPr>
            <w:tcW w:w="991" w:type="dxa"/>
            <w:tcBorders>
              <w:top w:val="single" w:sz="4" w:space="0" w:color="000000"/>
              <w:left w:val="single" w:sz="2" w:space="0" w:color="000000"/>
              <w:bottom w:val="single" w:sz="4" w:space="0" w:color="000000"/>
              <w:right w:val="single" w:sz="4" w:space="0" w:color="000000"/>
            </w:tcBorders>
          </w:tcPr>
          <w:p>
            <w:pPr>
              <w:pStyle w:val="TableParagraph"/>
              <w:spacing w:before="7"/>
              <w:rPr>
                <w:sz w:val="17"/>
              </w:rPr>
            </w:pPr>
            <w:r>
              <w:rPr>
                <w:w w:val="105"/>
                <w:sz w:val="17"/>
              </w:rPr>
              <w:t>2011</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r>
              <w:rPr>
                <w:w w:val="105"/>
                <w:sz w:val="17"/>
              </w:rPr>
              <w:t>30</w:t>
            </w:r>
          </w:p>
        </w:tc>
        <w:tc>
          <w:tcPr>
            <w:tcW w:w="2179" w:type="dxa"/>
            <w:tcBorders>
              <w:top w:val="single" w:sz="4" w:space="0" w:color="000000"/>
              <w:left w:val="single" w:sz="4" w:space="0" w:color="000000"/>
              <w:bottom w:val="single" w:sz="4" w:space="0" w:color="000000"/>
              <w:right w:val="single" w:sz="4" w:space="0" w:color="000000"/>
            </w:tcBorders>
          </w:tcPr>
          <w:p>
            <w:pPr>
              <w:pStyle w:val="TableParagraph"/>
              <w:spacing w:before="7"/>
              <w:ind w:left="100" w:right="426"/>
              <w:rPr>
                <w:sz w:val="17"/>
              </w:rPr>
            </w:pPr>
            <w:r>
              <w:rPr>
                <w:w w:val="105"/>
                <w:sz w:val="17"/>
              </w:rPr>
              <w:t>min 1 / max 160</w:t>
            </w:r>
          </w:p>
        </w:tc>
      </w:tr>
      <w:tr>
        <w:trPr>
          <w:trHeight w:val="216" w:hRule="exact"/>
        </w:trPr>
        <w:tc>
          <w:tcPr>
            <w:tcW w:w="991" w:type="dxa"/>
            <w:tcBorders>
              <w:top w:val="single" w:sz="4" w:space="0" w:color="000000"/>
              <w:left w:val="single" w:sz="2" w:space="0" w:color="000000"/>
              <w:bottom w:val="single" w:sz="4" w:space="0" w:color="000000"/>
              <w:right w:val="single" w:sz="4" w:space="0" w:color="000000"/>
            </w:tcBorders>
          </w:tcPr>
          <w:p>
            <w:pPr>
              <w:pStyle w:val="TableParagraph"/>
              <w:spacing w:before="7"/>
              <w:rPr>
                <w:sz w:val="17"/>
              </w:rPr>
            </w:pPr>
            <w:r>
              <w:rPr>
                <w:w w:val="105"/>
                <w:sz w:val="17"/>
              </w:rPr>
              <w:t>Différence</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r>
              <w:rPr>
                <w:w w:val="105"/>
                <w:sz w:val="17"/>
              </w:rPr>
              <w:t>+ 8</w:t>
            </w:r>
          </w:p>
        </w:tc>
        <w:tc>
          <w:tcPr>
            <w:tcW w:w="2179" w:type="dxa"/>
            <w:tcBorders>
              <w:top w:val="single" w:sz="4" w:space="0" w:color="000000"/>
              <w:left w:val="single" w:sz="4" w:space="0" w:color="000000"/>
              <w:bottom w:val="single" w:sz="4" w:space="0" w:color="000000"/>
              <w:right w:val="single" w:sz="4" w:space="0" w:color="000000"/>
            </w:tcBorders>
          </w:tcPr>
          <w:p>
            <w:pPr>
              <w:pStyle w:val="TableParagraph"/>
              <w:spacing w:before="7"/>
              <w:ind w:left="100" w:right="426"/>
              <w:rPr>
                <w:sz w:val="17"/>
              </w:rPr>
            </w:pPr>
            <w:r>
              <w:rPr>
                <w:w w:val="105"/>
                <w:sz w:val="17"/>
              </w:rPr>
              <w:t>Max – 14</w:t>
            </w:r>
          </w:p>
        </w:tc>
      </w:tr>
    </w:tbl>
    <w:p>
      <w:pPr>
        <w:pStyle w:val="BodyText"/>
        <w:spacing w:before="3"/>
        <w:rPr>
          <w:sz w:val="12"/>
        </w:rPr>
      </w:pPr>
    </w:p>
    <w:p>
      <w:pPr>
        <w:spacing w:before="84"/>
        <w:ind w:left="440" w:right="0" w:firstLine="0"/>
        <w:jc w:val="both"/>
        <w:rPr>
          <w:i/>
          <w:sz w:val="16"/>
        </w:rPr>
      </w:pPr>
      <w:r>
        <w:rPr>
          <w:i/>
          <w:sz w:val="16"/>
        </w:rPr>
        <w:t>Tableau 2 : Caractéristiques des pages d'accueil du corpus en critères d'ULH (présence, taille)</w:t>
      </w:r>
    </w:p>
    <w:p>
      <w:pPr>
        <w:pStyle w:val="BodyText"/>
        <w:spacing w:before="5"/>
        <w:rPr>
          <w:i/>
          <w:sz w:val="20"/>
        </w:rPr>
      </w:pPr>
    </w:p>
    <w:p>
      <w:pPr>
        <w:pStyle w:val="BodyText"/>
        <w:spacing w:line="252" w:lineRule="auto" w:before="1"/>
        <w:ind w:left="440" w:right="443"/>
        <w:jc w:val="both"/>
      </w:pPr>
      <w:r>
        <w:rPr>
          <w:w w:val="105"/>
        </w:rPr>
        <w:t>Plusieurs hypothèses peuvent être formulées pour expliquer ce phénomène d’augmentation. On peut l’expliquer par une convergence au plan technique des modes de composition de l’interface page d’accueil. La progression du nombre d’ULHt peut être corrélée aux augmentations de formats d’écran (le plus souvent contraint en 1024x768 en 2009, et à 1280x1024 en 2011), laissant plus de place pour les menus, ou encore à l’utilisation de CSS et javascript pour dispenser via la même page menus ET sous-menus. L’autre hypothèse est de l’attribuer à une augmentation en volume des contenus publiés sur les sites. Pour vérifier cela, il faudrait corréler cette observation avec l’évolution de la taille des sites web sur la période</w:t>
      </w:r>
      <w:r>
        <w:rPr>
          <w:spacing w:val="-5"/>
          <w:w w:val="105"/>
        </w:rPr>
        <w:t> </w:t>
      </w:r>
      <w:r>
        <w:rPr>
          <w:w w:val="105"/>
        </w:rPr>
        <w:t>concernée.</w:t>
      </w:r>
    </w:p>
    <w:p>
      <w:pPr>
        <w:pStyle w:val="BodyText"/>
        <w:spacing w:before="1"/>
        <w:rPr>
          <w:sz w:val="20"/>
        </w:rPr>
      </w:pPr>
    </w:p>
    <w:p>
      <w:pPr>
        <w:pStyle w:val="BodyText"/>
        <w:ind w:left="440"/>
        <w:jc w:val="both"/>
      </w:pPr>
      <w:r>
        <w:rPr>
          <w:w w:val="105"/>
        </w:rPr>
        <w:t>4.1.2. Caractéristiques du corpus d’ULH</w:t>
      </w:r>
    </w:p>
    <w:p>
      <w:pPr>
        <w:pStyle w:val="BodyText"/>
        <w:spacing w:line="254" w:lineRule="auto" w:before="7"/>
        <w:ind w:left="440" w:right="443"/>
        <w:jc w:val="both"/>
      </w:pPr>
      <w:r>
        <w:rPr>
          <w:w w:val="105"/>
        </w:rPr>
        <w:t>La comparaison des deux corpus montre des différences importantes.</w:t>
      </w:r>
      <w:r>
        <w:rPr>
          <w:spacing w:val="49"/>
          <w:w w:val="105"/>
        </w:rPr>
        <w:t> </w:t>
      </w:r>
      <w:r>
        <w:rPr>
          <w:w w:val="105"/>
        </w:rPr>
        <w:t>Les évolutions temporelles concernent plusieurs indicateurs et révèlent une progression en faveur de 2011. Le Tableau 3 montre les caractéristiques générales des corpus d’ULH collectés sur les 96 sites. Rapportée au nombre d’ULH par site, l’augmentation entre les deux années (+725, soit 36% d’augmentation) montre la croissance de ces ensembles lexicaux. Si l’on regarde toutefois l’augmentation des ULH distinctes au plan lexical (+418, soit 21% d’augmentation), cela   pondère</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89"/>
      </w:pPr>
      <w:r>
        <w:rPr>
          <w:w w:val="105"/>
        </w:rPr>
        <w:t>l’effet d’augmentation et permet de mettre en évidence une croissance relative, en phase au plan des contenus sur l’ensemble du corpus.</w:t>
      </w:r>
    </w:p>
    <w:p>
      <w:pPr>
        <w:pStyle w:val="BodyText"/>
        <w:spacing w:before="6"/>
      </w:pP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1"/>
        <w:gridCol w:w="1234"/>
        <w:gridCol w:w="1118"/>
        <w:gridCol w:w="1123"/>
      </w:tblGrid>
      <w:tr>
        <w:trPr>
          <w:trHeight w:val="211" w:hRule="exact"/>
        </w:trPr>
        <w:tc>
          <w:tcPr>
            <w:tcW w:w="2141" w:type="dxa"/>
          </w:tcPr>
          <w:p>
            <w:pPr/>
          </w:p>
        </w:tc>
        <w:tc>
          <w:tcPr>
            <w:tcW w:w="1234" w:type="dxa"/>
          </w:tcPr>
          <w:p>
            <w:pPr>
              <w:pStyle w:val="TableParagraph"/>
              <w:spacing w:before="7"/>
              <w:rPr>
                <w:i/>
                <w:sz w:val="17"/>
              </w:rPr>
            </w:pPr>
            <w:r>
              <w:rPr>
                <w:i/>
                <w:w w:val="105"/>
                <w:sz w:val="17"/>
              </w:rPr>
              <w:t>2009</w:t>
            </w:r>
          </w:p>
        </w:tc>
        <w:tc>
          <w:tcPr>
            <w:tcW w:w="1118" w:type="dxa"/>
          </w:tcPr>
          <w:p>
            <w:pPr>
              <w:pStyle w:val="TableParagraph"/>
              <w:spacing w:before="7"/>
              <w:ind w:left="100"/>
              <w:rPr>
                <w:i/>
                <w:sz w:val="17"/>
              </w:rPr>
            </w:pPr>
            <w:r>
              <w:rPr>
                <w:i/>
                <w:w w:val="105"/>
                <w:sz w:val="17"/>
              </w:rPr>
              <w:t>2011</w:t>
            </w:r>
          </w:p>
        </w:tc>
        <w:tc>
          <w:tcPr>
            <w:tcW w:w="1123" w:type="dxa"/>
          </w:tcPr>
          <w:p>
            <w:pPr>
              <w:pStyle w:val="TableParagraph"/>
              <w:spacing w:before="7"/>
              <w:rPr>
                <w:i/>
                <w:sz w:val="17"/>
              </w:rPr>
            </w:pPr>
            <w:r>
              <w:rPr>
                <w:i/>
                <w:w w:val="105"/>
                <w:sz w:val="17"/>
              </w:rPr>
              <w:t>Variation</w:t>
            </w:r>
          </w:p>
        </w:tc>
      </w:tr>
      <w:tr>
        <w:trPr>
          <w:trHeight w:val="216" w:hRule="exact"/>
        </w:trPr>
        <w:tc>
          <w:tcPr>
            <w:tcW w:w="2141" w:type="dxa"/>
          </w:tcPr>
          <w:p>
            <w:pPr>
              <w:pStyle w:val="TableParagraph"/>
              <w:spacing w:before="7"/>
              <w:ind w:left="100"/>
              <w:rPr>
                <w:sz w:val="17"/>
              </w:rPr>
            </w:pPr>
            <w:r>
              <w:rPr>
                <w:w w:val="105"/>
                <w:sz w:val="17"/>
              </w:rPr>
              <w:t>Nombre d’ULHt - ULHt</w:t>
            </w:r>
          </w:p>
        </w:tc>
        <w:tc>
          <w:tcPr>
            <w:tcW w:w="1234" w:type="dxa"/>
          </w:tcPr>
          <w:p>
            <w:pPr>
              <w:pStyle w:val="TableParagraph"/>
              <w:spacing w:before="7"/>
              <w:rPr>
                <w:sz w:val="17"/>
              </w:rPr>
            </w:pPr>
            <w:r>
              <w:rPr>
                <w:w w:val="105"/>
                <w:sz w:val="17"/>
              </w:rPr>
              <w:t>2096</w:t>
            </w:r>
          </w:p>
        </w:tc>
        <w:tc>
          <w:tcPr>
            <w:tcW w:w="1118" w:type="dxa"/>
          </w:tcPr>
          <w:p>
            <w:pPr>
              <w:pStyle w:val="TableParagraph"/>
              <w:spacing w:before="7"/>
              <w:ind w:left="100"/>
              <w:rPr>
                <w:sz w:val="17"/>
              </w:rPr>
            </w:pPr>
            <w:r>
              <w:rPr>
                <w:w w:val="105"/>
                <w:sz w:val="17"/>
              </w:rPr>
              <w:t>2940</w:t>
            </w:r>
          </w:p>
        </w:tc>
        <w:tc>
          <w:tcPr>
            <w:tcW w:w="1123" w:type="dxa"/>
          </w:tcPr>
          <w:p>
            <w:pPr>
              <w:pStyle w:val="TableParagraph"/>
              <w:spacing w:before="7"/>
              <w:rPr>
                <w:sz w:val="17"/>
              </w:rPr>
            </w:pPr>
            <w:r>
              <w:rPr>
                <w:w w:val="105"/>
                <w:sz w:val="17"/>
              </w:rPr>
              <w:t>+844</w:t>
            </w:r>
          </w:p>
        </w:tc>
      </w:tr>
      <w:tr>
        <w:trPr>
          <w:trHeight w:val="211" w:hRule="exact"/>
        </w:trPr>
        <w:tc>
          <w:tcPr>
            <w:tcW w:w="2141" w:type="dxa"/>
          </w:tcPr>
          <w:p>
            <w:pPr>
              <w:pStyle w:val="TableParagraph"/>
              <w:spacing w:before="7"/>
              <w:ind w:left="100"/>
              <w:rPr>
                <w:sz w:val="17"/>
              </w:rPr>
            </w:pPr>
            <w:r>
              <w:rPr>
                <w:w w:val="105"/>
                <w:sz w:val="17"/>
              </w:rPr>
              <w:t>Nombre d’ULHd</w:t>
            </w:r>
          </w:p>
        </w:tc>
        <w:tc>
          <w:tcPr>
            <w:tcW w:w="1234" w:type="dxa"/>
          </w:tcPr>
          <w:p>
            <w:pPr>
              <w:pStyle w:val="TableParagraph"/>
              <w:spacing w:before="7"/>
              <w:rPr>
                <w:sz w:val="17"/>
              </w:rPr>
            </w:pPr>
            <w:r>
              <w:rPr>
                <w:w w:val="105"/>
                <w:sz w:val="17"/>
              </w:rPr>
              <w:t>1589</w:t>
            </w:r>
          </w:p>
        </w:tc>
        <w:tc>
          <w:tcPr>
            <w:tcW w:w="1118" w:type="dxa"/>
          </w:tcPr>
          <w:p>
            <w:pPr>
              <w:pStyle w:val="TableParagraph"/>
              <w:spacing w:before="7"/>
              <w:ind w:left="100"/>
              <w:rPr>
                <w:sz w:val="17"/>
              </w:rPr>
            </w:pPr>
            <w:r>
              <w:rPr>
                <w:w w:val="105"/>
                <w:sz w:val="17"/>
              </w:rPr>
              <w:t>1895</w:t>
            </w:r>
          </w:p>
        </w:tc>
        <w:tc>
          <w:tcPr>
            <w:tcW w:w="1123" w:type="dxa"/>
          </w:tcPr>
          <w:p>
            <w:pPr>
              <w:pStyle w:val="TableParagraph"/>
              <w:spacing w:before="7"/>
              <w:rPr>
                <w:sz w:val="17"/>
              </w:rPr>
            </w:pPr>
            <w:r>
              <w:rPr>
                <w:w w:val="105"/>
                <w:sz w:val="17"/>
              </w:rPr>
              <w:t>+298</w:t>
            </w:r>
          </w:p>
        </w:tc>
      </w:tr>
      <w:tr>
        <w:trPr>
          <w:trHeight w:val="413" w:hRule="exact"/>
        </w:trPr>
        <w:tc>
          <w:tcPr>
            <w:tcW w:w="2141" w:type="dxa"/>
          </w:tcPr>
          <w:p>
            <w:pPr>
              <w:pStyle w:val="TableParagraph"/>
              <w:spacing w:line="252" w:lineRule="auto" w:before="7"/>
              <w:ind w:left="100"/>
              <w:rPr>
                <w:sz w:val="17"/>
              </w:rPr>
            </w:pPr>
            <w:r>
              <w:rPr>
                <w:w w:val="105"/>
                <w:sz w:val="17"/>
              </w:rPr>
              <w:t>Proportion des ULHd / ULHt</w:t>
            </w:r>
          </w:p>
        </w:tc>
        <w:tc>
          <w:tcPr>
            <w:tcW w:w="1234" w:type="dxa"/>
          </w:tcPr>
          <w:p>
            <w:pPr>
              <w:pStyle w:val="TableParagraph"/>
              <w:spacing w:before="7"/>
              <w:rPr>
                <w:sz w:val="17"/>
              </w:rPr>
            </w:pPr>
            <w:r>
              <w:rPr>
                <w:w w:val="105"/>
                <w:sz w:val="17"/>
              </w:rPr>
              <w:t>76 %</w:t>
            </w:r>
          </w:p>
        </w:tc>
        <w:tc>
          <w:tcPr>
            <w:tcW w:w="1118" w:type="dxa"/>
          </w:tcPr>
          <w:p>
            <w:pPr>
              <w:pStyle w:val="TableParagraph"/>
              <w:spacing w:before="7"/>
              <w:ind w:left="100"/>
              <w:rPr>
                <w:sz w:val="17"/>
              </w:rPr>
            </w:pPr>
            <w:r>
              <w:rPr>
                <w:w w:val="105"/>
                <w:sz w:val="17"/>
              </w:rPr>
              <w:t>64 %</w:t>
            </w:r>
          </w:p>
        </w:tc>
        <w:tc>
          <w:tcPr>
            <w:tcW w:w="1123" w:type="dxa"/>
          </w:tcPr>
          <w:p>
            <w:pPr/>
          </w:p>
        </w:tc>
      </w:tr>
    </w:tbl>
    <w:p>
      <w:pPr>
        <w:spacing w:line="177" w:lineRule="exact" w:before="0"/>
        <w:ind w:left="440" w:right="0" w:firstLine="0"/>
        <w:jc w:val="both"/>
        <w:rPr>
          <w:i/>
          <w:sz w:val="16"/>
        </w:rPr>
      </w:pPr>
      <w:r>
        <w:rPr>
          <w:i/>
          <w:sz w:val="16"/>
        </w:rPr>
        <w:t>Tableau 3 : Caractéristique des corpus d'ULH collectées (nombre, occurrences, taille)</w:t>
      </w:r>
    </w:p>
    <w:p>
      <w:pPr>
        <w:pStyle w:val="BodyText"/>
        <w:spacing w:before="10"/>
        <w:rPr>
          <w:i/>
          <w:sz w:val="20"/>
        </w:rPr>
      </w:pPr>
    </w:p>
    <w:p>
      <w:pPr>
        <w:pStyle w:val="BodyText"/>
        <w:spacing w:line="252" w:lineRule="auto"/>
        <w:ind w:left="440" w:right="441"/>
        <w:jc w:val="both"/>
      </w:pPr>
      <w:r>
        <w:rPr>
          <w:w w:val="105"/>
        </w:rPr>
        <w:t>Le Tableau 4 montre la dynamique globale du corpus des ULH. Les</w:t>
      </w:r>
      <w:r>
        <w:rPr>
          <w:spacing w:val="49"/>
          <w:w w:val="105"/>
        </w:rPr>
        <w:t> </w:t>
      </w:r>
      <w:r>
        <w:rPr>
          <w:w w:val="105"/>
        </w:rPr>
        <w:t>ULH communes 2009-2011 représentent l’ensemble des ULH stables </w:t>
      </w:r>
      <w:r>
        <w:rPr>
          <w:spacing w:val="49"/>
          <w:w w:val="105"/>
        </w:rPr>
        <w:t> </w:t>
      </w:r>
      <w:r>
        <w:rPr>
          <w:w w:val="105"/>
        </w:rPr>
        <w:t>sur les deux années. Les ULH exclusives 2009 sont celles qui ont disparu entre les deux périodes de collecte. Les exclusives 2011 sont celles apparues en</w:t>
      </w:r>
      <w:r>
        <w:rPr>
          <w:spacing w:val="-4"/>
          <w:w w:val="105"/>
        </w:rPr>
        <w:t> </w:t>
      </w:r>
      <w:r>
        <w:rPr>
          <w:w w:val="105"/>
        </w:rPr>
        <w:t>2011.</w:t>
      </w:r>
    </w:p>
    <w:p>
      <w:pPr>
        <w:pStyle w:val="BodyText"/>
        <w:spacing w:before="8"/>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889"/>
        <w:gridCol w:w="359"/>
        <w:gridCol w:w="942"/>
        <w:gridCol w:w="369"/>
        <w:gridCol w:w="933"/>
        <w:gridCol w:w="566"/>
        <w:gridCol w:w="250"/>
      </w:tblGrid>
      <w:tr>
        <w:trPr>
          <w:trHeight w:val="619" w:hRule="exact"/>
        </w:trPr>
        <w:tc>
          <w:tcPr>
            <w:tcW w:w="1356" w:type="dxa"/>
            <w:tcBorders>
              <w:left w:val="single" w:sz="2" w:space="0" w:color="000000"/>
            </w:tcBorders>
          </w:tcPr>
          <w:p>
            <w:pPr/>
          </w:p>
        </w:tc>
        <w:tc>
          <w:tcPr>
            <w:tcW w:w="889" w:type="dxa"/>
            <w:tcBorders>
              <w:right w:val="nil"/>
            </w:tcBorders>
          </w:tcPr>
          <w:p>
            <w:pPr>
              <w:pStyle w:val="TableParagraph"/>
              <w:spacing w:line="252" w:lineRule="auto" w:before="7"/>
              <w:ind w:left="100" w:right="65"/>
              <w:jc w:val="both"/>
              <w:rPr>
                <w:sz w:val="17"/>
              </w:rPr>
            </w:pPr>
            <w:r>
              <w:rPr>
                <w:w w:val="105"/>
                <w:sz w:val="17"/>
              </w:rPr>
              <w:t>Nb ULHt (% / au total)</w:t>
            </w:r>
          </w:p>
        </w:tc>
        <w:tc>
          <w:tcPr>
            <w:tcW w:w="359" w:type="dxa"/>
            <w:tcBorders>
              <w:left w:val="nil"/>
            </w:tcBorders>
          </w:tcPr>
          <w:p>
            <w:pPr>
              <w:pStyle w:val="TableParagraph"/>
              <w:spacing w:before="6"/>
              <w:ind w:left="0"/>
              <w:rPr>
                <w:sz w:val="18"/>
              </w:rPr>
            </w:pPr>
          </w:p>
          <w:p>
            <w:pPr>
              <w:pStyle w:val="TableParagraph"/>
              <w:ind w:left="67"/>
              <w:rPr>
                <w:sz w:val="17"/>
              </w:rPr>
            </w:pPr>
            <w:r>
              <w:rPr>
                <w:w w:val="105"/>
                <w:sz w:val="17"/>
              </w:rPr>
              <w:t>nb</w:t>
            </w:r>
          </w:p>
        </w:tc>
        <w:tc>
          <w:tcPr>
            <w:tcW w:w="942" w:type="dxa"/>
            <w:tcBorders>
              <w:right w:val="nil"/>
            </w:tcBorders>
          </w:tcPr>
          <w:p>
            <w:pPr>
              <w:pStyle w:val="TableParagraph"/>
              <w:spacing w:line="252" w:lineRule="auto" w:before="7"/>
              <w:ind w:right="74"/>
              <w:jc w:val="both"/>
              <w:rPr>
                <w:sz w:val="17"/>
              </w:rPr>
            </w:pPr>
            <w:r>
              <w:rPr>
                <w:w w:val="105"/>
                <w:sz w:val="17"/>
              </w:rPr>
              <w:t>Nb ULHd (% / au total)</w:t>
            </w:r>
          </w:p>
        </w:tc>
        <w:tc>
          <w:tcPr>
            <w:tcW w:w="369" w:type="dxa"/>
            <w:tcBorders>
              <w:left w:val="nil"/>
            </w:tcBorders>
          </w:tcPr>
          <w:p>
            <w:pPr>
              <w:pStyle w:val="TableParagraph"/>
              <w:spacing w:before="6"/>
              <w:ind w:left="0"/>
              <w:rPr>
                <w:sz w:val="18"/>
              </w:rPr>
            </w:pPr>
          </w:p>
          <w:p>
            <w:pPr>
              <w:pStyle w:val="TableParagraph"/>
              <w:ind w:left="76"/>
              <w:rPr>
                <w:sz w:val="17"/>
              </w:rPr>
            </w:pPr>
            <w:r>
              <w:rPr>
                <w:w w:val="105"/>
                <w:sz w:val="17"/>
              </w:rPr>
              <w:t>nb</w:t>
            </w:r>
          </w:p>
        </w:tc>
        <w:tc>
          <w:tcPr>
            <w:tcW w:w="933" w:type="dxa"/>
            <w:tcBorders>
              <w:right w:val="nil"/>
            </w:tcBorders>
          </w:tcPr>
          <w:p>
            <w:pPr>
              <w:pStyle w:val="TableParagraph"/>
              <w:spacing w:line="252" w:lineRule="auto" w:before="7"/>
              <w:ind w:left="100" w:right="40"/>
              <w:rPr>
                <w:sz w:val="17"/>
              </w:rPr>
            </w:pPr>
            <w:r>
              <w:rPr>
                <w:w w:val="105"/>
                <w:sz w:val="17"/>
              </w:rPr>
              <w:t>Proportion ULHt</w:t>
            </w:r>
          </w:p>
        </w:tc>
        <w:tc>
          <w:tcPr>
            <w:tcW w:w="566" w:type="dxa"/>
            <w:tcBorders>
              <w:left w:val="nil"/>
              <w:right w:val="nil"/>
            </w:tcBorders>
          </w:tcPr>
          <w:p>
            <w:pPr>
              <w:pStyle w:val="TableParagraph"/>
              <w:spacing w:before="7"/>
              <w:ind w:left="54"/>
              <w:rPr>
                <w:sz w:val="17"/>
              </w:rPr>
            </w:pPr>
            <w:r>
              <w:rPr>
                <w:w w:val="105"/>
                <w:sz w:val="17"/>
              </w:rPr>
              <w:t>ULHd</w:t>
            </w:r>
          </w:p>
        </w:tc>
        <w:tc>
          <w:tcPr>
            <w:tcW w:w="250" w:type="dxa"/>
            <w:tcBorders>
              <w:left w:val="nil"/>
              <w:right w:val="single" w:sz="2" w:space="0" w:color="000000"/>
            </w:tcBorders>
          </w:tcPr>
          <w:p>
            <w:pPr>
              <w:pStyle w:val="TableParagraph"/>
              <w:spacing w:before="7"/>
              <w:ind w:left="54"/>
              <w:rPr>
                <w:sz w:val="17"/>
              </w:rPr>
            </w:pPr>
            <w:r>
              <w:rPr>
                <w:w w:val="104"/>
                <w:sz w:val="17"/>
              </w:rPr>
              <w:t>/</w:t>
            </w:r>
          </w:p>
        </w:tc>
      </w:tr>
      <w:tr>
        <w:trPr>
          <w:trHeight w:val="211" w:hRule="exact"/>
        </w:trPr>
        <w:tc>
          <w:tcPr>
            <w:tcW w:w="1356" w:type="dxa"/>
            <w:tcBorders>
              <w:left w:val="single" w:sz="2" w:space="0" w:color="000000"/>
            </w:tcBorders>
          </w:tcPr>
          <w:p>
            <w:pPr>
              <w:pStyle w:val="TableParagraph"/>
              <w:spacing w:before="7"/>
              <w:rPr>
                <w:sz w:val="17"/>
              </w:rPr>
            </w:pPr>
            <w:r>
              <w:rPr>
                <w:w w:val="105"/>
                <w:sz w:val="17"/>
              </w:rPr>
              <w:t>Exclusif 2009</w:t>
            </w:r>
          </w:p>
        </w:tc>
        <w:tc>
          <w:tcPr>
            <w:tcW w:w="1248" w:type="dxa"/>
            <w:gridSpan w:val="2"/>
          </w:tcPr>
          <w:p>
            <w:pPr>
              <w:pStyle w:val="TableParagraph"/>
              <w:spacing w:before="7"/>
              <w:ind w:left="100"/>
              <w:rPr>
                <w:sz w:val="17"/>
              </w:rPr>
            </w:pPr>
            <w:r>
              <w:rPr>
                <w:w w:val="105"/>
                <w:sz w:val="17"/>
              </w:rPr>
              <w:t>841 (16,7%)</w:t>
            </w:r>
          </w:p>
        </w:tc>
        <w:tc>
          <w:tcPr>
            <w:tcW w:w="1310" w:type="dxa"/>
            <w:gridSpan w:val="2"/>
          </w:tcPr>
          <w:p>
            <w:pPr>
              <w:pStyle w:val="TableParagraph"/>
              <w:spacing w:before="7"/>
              <w:rPr>
                <w:sz w:val="17"/>
              </w:rPr>
            </w:pPr>
            <w:r>
              <w:rPr>
                <w:w w:val="105"/>
                <w:sz w:val="17"/>
              </w:rPr>
              <w:t>779 (29%)</w:t>
            </w:r>
          </w:p>
        </w:tc>
        <w:tc>
          <w:tcPr>
            <w:tcW w:w="1750" w:type="dxa"/>
            <w:gridSpan w:val="3"/>
            <w:tcBorders>
              <w:right w:val="single" w:sz="2" w:space="0" w:color="000000"/>
            </w:tcBorders>
          </w:tcPr>
          <w:p>
            <w:pPr>
              <w:pStyle w:val="TableParagraph"/>
              <w:spacing w:before="7"/>
              <w:ind w:left="100"/>
              <w:rPr>
                <w:sz w:val="17"/>
              </w:rPr>
            </w:pPr>
            <w:r>
              <w:rPr>
                <w:w w:val="105"/>
                <w:sz w:val="17"/>
              </w:rPr>
              <w:t>92,7 %</w:t>
            </w:r>
          </w:p>
        </w:tc>
      </w:tr>
      <w:tr>
        <w:trPr>
          <w:trHeight w:val="413" w:hRule="exact"/>
        </w:trPr>
        <w:tc>
          <w:tcPr>
            <w:tcW w:w="1356" w:type="dxa"/>
            <w:tcBorders>
              <w:left w:val="single" w:sz="2" w:space="0" w:color="000000"/>
            </w:tcBorders>
          </w:tcPr>
          <w:p>
            <w:pPr>
              <w:pStyle w:val="TableParagraph"/>
              <w:spacing w:before="7"/>
              <w:rPr>
                <w:sz w:val="17"/>
              </w:rPr>
            </w:pPr>
            <w:r>
              <w:rPr>
                <w:w w:val="105"/>
                <w:sz w:val="17"/>
              </w:rPr>
              <w:t>Commun 2009-</w:t>
            </w:r>
          </w:p>
          <w:p>
            <w:pPr>
              <w:pStyle w:val="TableParagraph"/>
              <w:spacing w:before="10"/>
              <w:rPr>
                <w:sz w:val="17"/>
              </w:rPr>
            </w:pPr>
            <w:r>
              <w:rPr>
                <w:w w:val="105"/>
                <w:sz w:val="17"/>
              </w:rPr>
              <w:t>2011</w:t>
            </w:r>
          </w:p>
        </w:tc>
        <w:tc>
          <w:tcPr>
            <w:tcW w:w="1248" w:type="dxa"/>
            <w:gridSpan w:val="2"/>
          </w:tcPr>
          <w:p>
            <w:pPr>
              <w:pStyle w:val="TableParagraph"/>
              <w:spacing w:before="7"/>
              <w:ind w:left="100"/>
              <w:rPr>
                <w:sz w:val="17"/>
              </w:rPr>
            </w:pPr>
            <w:r>
              <w:rPr>
                <w:w w:val="105"/>
                <w:sz w:val="17"/>
              </w:rPr>
              <w:t>2762 (54,8%)</w:t>
            </w:r>
          </w:p>
        </w:tc>
        <w:tc>
          <w:tcPr>
            <w:tcW w:w="1310" w:type="dxa"/>
            <w:gridSpan w:val="2"/>
          </w:tcPr>
          <w:p>
            <w:pPr>
              <w:pStyle w:val="TableParagraph"/>
              <w:spacing w:before="7"/>
              <w:rPr>
                <w:sz w:val="17"/>
              </w:rPr>
            </w:pPr>
            <w:r>
              <w:rPr>
                <w:w w:val="105"/>
                <w:sz w:val="17"/>
              </w:rPr>
              <w:t>818 (30,6%)</w:t>
            </w:r>
          </w:p>
        </w:tc>
        <w:tc>
          <w:tcPr>
            <w:tcW w:w="1750" w:type="dxa"/>
            <w:gridSpan w:val="3"/>
            <w:tcBorders>
              <w:right w:val="single" w:sz="2" w:space="0" w:color="000000"/>
            </w:tcBorders>
          </w:tcPr>
          <w:p>
            <w:pPr>
              <w:pStyle w:val="TableParagraph"/>
              <w:spacing w:before="7"/>
              <w:ind w:left="100"/>
              <w:rPr>
                <w:sz w:val="17"/>
              </w:rPr>
            </w:pPr>
            <w:r>
              <w:rPr>
                <w:w w:val="105"/>
                <w:sz w:val="17"/>
              </w:rPr>
              <w:t>29,6 %</w:t>
            </w:r>
          </w:p>
        </w:tc>
      </w:tr>
      <w:tr>
        <w:trPr>
          <w:trHeight w:val="302" w:hRule="exact"/>
        </w:trPr>
        <w:tc>
          <w:tcPr>
            <w:tcW w:w="1356" w:type="dxa"/>
            <w:tcBorders>
              <w:left w:val="single" w:sz="2" w:space="0" w:color="000000"/>
            </w:tcBorders>
          </w:tcPr>
          <w:p>
            <w:pPr>
              <w:pStyle w:val="TableParagraph"/>
              <w:spacing w:before="7"/>
              <w:rPr>
                <w:sz w:val="17"/>
              </w:rPr>
            </w:pPr>
            <w:r>
              <w:rPr>
                <w:w w:val="105"/>
                <w:sz w:val="17"/>
              </w:rPr>
              <w:t>Exclusif 2011</w:t>
            </w:r>
          </w:p>
        </w:tc>
        <w:tc>
          <w:tcPr>
            <w:tcW w:w="1248" w:type="dxa"/>
            <w:gridSpan w:val="2"/>
          </w:tcPr>
          <w:p>
            <w:pPr>
              <w:pStyle w:val="TableParagraph"/>
              <w:spacing w:before="7"/>
              <w:ind w:left="100"/>
              <w:rPr>
                <w:sz w:val="17"/>
              </w:rPr>
            </w:pPr>
            <w:r>
              <w:rPr>
                <w:w w:val="105"/>
                <w:sz w:val="17"/>
              </w:rPr>
              <w:t>1433 (28,5%)</w:t>
            </w:r>
          </w:p>
        </w:tc>
        <w:tc>
          <w:tcPr>
            <w:tcW w:w="1310" w:type="dxa"/>
            <w:gridSpan w:val="2"/>
          </w:tcPr>
          <w:p>
            <w:pPr>
              <w:pStyle w:val="TableParagraph"/>
              <w:spacing w:before="7"/>
              <w:rPr>
                <w:sz w:val="17"/>
              </w:rPr>
            </w:pPr>
            <w:r>
              <w:rPr>
                <w:w w:val="105"/>
                <w:sz w:val="17"/>
              </w:rPr>
              <w:t>1077 (40,3%)</w:t>
            </w:r>
          </w:p>
        </w:tc>
        <w:tc>
          <w:tcPr>
            <w:tcW w:w="1750" w:type="dxa"/>
            <w:gridSpan w:val="3"/>
            <w:tcBorders>
              <w:right w:val="single" w:sz="2" w:space="0" w:color="000000"/>
            </w:tcBorders>
          </w:tcPr>
          <w:p>
            <w:pPr>
              <w:pStyle w:val="TableParagraph"/>
              <w:spacing w:before="7"/>
              <w:ind w:left="100"/>
              <w:rPr>
                <w:sz w:val="17"/>
              </w:rPr>
            </w:pPr>
            <w:r>
              <w:rPr>
                <w:w w:val="105"/>
                <w:sz w:val="17"/>
              </w:rPr>
              <w:t>75,2 %</w:t>
            </w:r>
          </w:p>
        </w:tc>
      </w:tr>
      <w:tr>
        <w:trPr>
          <w:trHeight w:val="298" w:hRule="exact"/>
        </w:trPr>
        <w:tc>
          <w:tcPr>
            <w:tcW w:w="1356" w:type="dxa"/>
            <w:tcBorders>
              <w:left w:val="single" w:sz="2" w:space="0" w:color="000000"/>
            </w:tcBorders>
          </w:tcPr>
          <w:p>
            <w:pPr>
              <w:pStyle w:val="TableParagraph"/>
              <w:spacing w:before="7"/>
              <w:rPr>
                <w:sz w:val="17"/>
              </w:rPr>
            </w:pPr>
            <w:r>
              <w:rPr>
                <w:w w:val="105"/>
                <w:sz w:val="17"/>
              </w:rPr>
              <w:t>Corpus complet</w:t>
            </w:r>
          </w:p>
        </w:tc>
        <w:tc>
          <w:tcPr>
            <w:tcW w:w="1248" w:type="dxa"/>
            <w:gridSpan w:val="2"/>
          </w:tcPr>
          <w:p>
            <w:pPr>
              <w:pStyle w:val="TableParagraph"/>
              <w:spacing w:before="7"/>
              <w:ind w:left="100"/>
              <w:rPr>
                <w:sz w:val="17"/>
              </w:rPr>
            </w:pPr>
            <w:r>
              <w:rPr>
                <w:w w:val="105"/>
                <w:sz w:val="17"/>
              </w:rPr>
              <w:t>5036</w:t>
            </w:r>
          </w:p>
        </w:tc>
        <w:tc>
          <w:tcPr>
            <w:tcW w:w="1310" w:type="dxa"/>
            <w:gridSpan w:val="2"/>
          </w:tcPr>
          <w:p>
            <w:pPr>
              <w:pStyle w:val="TableParagraph"/>
              <w:spacing w:before="7"/>
              <w:rPr>
                <w:sz w:val="17"/>
              </w:rPr>
            </w:pPr>
            <w:r>
              <w:rPr>
                <w:w w:val="105"/>
                <w:sz w:val="17"/>
              </w:rPr>
              <w:t>2674</w:t>
            </w:r>
          </w:p>
        </w:tc>
        <w:tc>
          <w:tcPr>
            <w:tcW w:w="1750" w:type="dxa"/>
            <w:gridSpan w:val="3"/>
            <w:tcBorders>
              <w:right w:val="single" w:sz="2" w:space="0" w:color="000000"/>
            </w:tcBorders>
          </w:tcPr>
          <w:p>
            <w:pPr>
              <w:pStyle w:val="TableParagraph"/>
              <w:spacing w:before="7"/>
              <w:ind w:left="100"/>
              <w:rPr>
                <w:sz w:val="17"/>
              </w:rPr>
            </w:pPr>
            <w:r>
              <w:rPr>
                <w:w w:val="105"/>
                <w:sz w:val="17"/>
              </w:rPr>
              <w:t>53,1 %</w:t>
            </w:r>
          </w:p>
        </w:tc>
      </w:tr>
    </w:tbl>
    <w:p>
      <w:pPr>
        <w:pStyle w:val="BodyText"/>
        <w:spacing w:before="5"/>
        <w:rPr>
          <w:sz w:val="8"/>
        </w:rPr>
      </w:pPr>
    </w:p>
    <w:p>
      <w:pPr>
        <w:spacing w:line="178" w:lineRule="exact" w:before="79"/>
        <w:ind w:left="440" w:right="545" w:firstLine="0"/>
        <w:jc w:val="left"/>
        <w:rPr>
          <w:i/>
          <w:sz w:val="16"/>
        </w:rPr>
      </w:pPr>
      <w:r>
        <w:rPr>
          <w:i/>
          <w:sz w:val="16"/>
        </w:rPr>
        <w:t>Tableau 4 : Dynamique temporelle du corpus d'ULH : les communs aux deux années, exclusifs 2009 et </w:t>
      </w:r>
      <w:r>
        <w:rPr>
          <w:i/>
          <w:sz w:val="16"/>
        </w:rPr>
        <w:t>2011.</w:t>
      </w:r>
    </w:p>
    <w:p>
      <w:pPr>
        <w:pStyle w:val="BodyText"/>
        <w:spacing w:before="6"/>
        <w:rPr>
          <w:i/>
          <w:sz w:val="21"/>
        </w:rPr>
      </w:pPr>
    </w:p>
    <w:p>
      <w:pPr>
        <w:pStyle w:val="BodyText"/>
        <w:ind w:left="440"/>
        <w:jc w:val="both"/>
      </w:pPr>
      <w:r>
        <w:rPr>
          <w:w w:val="105"/>
        </w:rPr>
        <w:t>Plusieurs points sont à mentionner :</w:t>
      </w:r>
    </w:p>
    <w:p>
      <w:pPr>
        <w:pStyle w:val="ListParagraph"/>
        <w:numPr>
          <w:ilvl w:val="0"/>
          <w:numId w:val="4"/>
        </w:numPr>
        <w:tabs>
          <w:tab w:pos="579" w:val="left" w:leader="none"/>
        </w:tabs>
        <w:spacing w:line="249" w:lineRule="auto" w:before="12" w:after="0"/>
        <w:ind w:left="440" w:right="443" w:firstLine="0"/>
        <w:jc w:val="both"/>
        <w:rPr>
          <w:sz w:val="19"/>
        </w:rPr>
      </w:pPr>
      <w:r>
        <w:rPr>
          <w:w w:val="105"/>
          <w:sz w:val="19"/>
        </w:rPr>
        <w:t>55 % des ULHt du corpus complet sont issus des ULHt communes 2009-2011 alors que cette proportion diminue à 29,6% lorsqu’on s’intéresse aux ULH</w:t>
      </w:r>
      <w:r>
        <w:rPr>
          <w:spacing w:val="-9"/>
          <w:w w:val="105"/>
          <w:sz w:val="19"/>
        </w:rPr>
        <w:t> </w:t>
      </w:r>
      <w:r>
        <w:rPr>
          <w:w w:val="105"/>
          <w:sz w:val="19"/>
        </w:rPr>
        <w:t>distinctes.</w:t>
      </w:r>
    </w:p>
    <w:p>
      <w:pPr>
        <w:pStyle w:val="ListParagraph"/>
        <w:numPr>
          <w:ilvl w:val="0"/>
          <w:numId w:val="4"/>
        </w:numPr>
        <w:tabs>
          <w:tab w:pos="584" w:val="left" w:leader="none"/>
        </w:tabs>
        <w:spacing w:line="254" w:lineRule="auto" w:before="3" w:after="0"/>
        <w:ind w:left="440" w:right="444" w:firstLine="0"/>
        <w:jc w:val="both"/>
        <w:rPr>
          <w:sz w:val="19"/>
        </w:rPr>
      </w:pPr>
      <w:r>
        <w:rPr>
          <w:w w:val="105"/>
          <w:sz w:val="19"/>
        </w:rPr>
        <w:t>au niveau des ULH communes 2009-2011, un principe d’occurrence très important est observé : 1 ULH apparait 3 fois en moyenne (proportion</w:t>
      </w:r>
      <w:r>
        <w:rPr>
          <w:spacing w:val="-8"/>
          <w:w w:val="105"/>
          <w:sz w:val="19"/>
        </w:rPr>
        <w:t> </w:t>
      </w:r>
      <w:r>
        <w:rPr>
          <w:w w:val="105"/>
          <w:sz w:val="19"/>
        </w:rPr>
        <w:t>ULHd/ULHt).</w:t>
      </w:r>
    </w:p>
    <w:p>
      <w:pPr>
        <w:pStyle w:val="ListParagraph"/>
        <w:numPr>
          <w:ilvl w:val="0"/>
          <w:numId w:val="4"/>
        </w:numPr>
        <w:tabs>
          <w:tab w:pos="622" w:val="left" w:leader="none"/>
        </w:tabs>
        <w:spacing w:line="254" w:lineRule="auto" w:before="0" w:after="0"/>
        <w:ind w:left="440" w:right="443" w:firstLine="0"/>
        <w:jc w:val="both"/>
        <w:rPr>
          <w:sz w:val="19"/>
        </w:rPr>
      </w:pPr>
      <w:r>
        <w:rPr>
          <w:w w:val="105"/>
          <w:sz w:val="19"/>
        </w:rPr>
        <w:t>Entre 2009 et 2011, nous notons une diminution notoire de la dispersion des ULH (93% en 2009, contre seulement 75,3 % en</w:t>
      </w:r>
      <w:r>
        <w:rPr>
          <w:spacing w:val="-14"/>
          <w:w w:val="105"/>
          <w:sz w:val="19"/>
        </w:rPr>
        <w:t> </w:t>
      </w:r>
      <w:r>
        <w:rPr>
          <w:w w:val="105"/>
          <w:sz w:val="19"/>
        </w:rPr>
        <w:t>2011)..</w:t>
      </w:r>
    </w:p>
    <w:p>
      <w:pPr>
        <w:pStyle w:val="ListParagraph"/>
        <w:numPr>
          <w:ilvl w:val="0"/>
          <w:numId w:val="4"/>
        </w:numPr>
        <w:tabs>
          <w:tab w:pos="556" w:val="left" w:leader="none"/>
        </w:tabs>
        <w:spacing w:line="249" w:lineRule="auto" w:before="0" w:after="0"/>
        <w:ind w:left="440" w:right="444" w:firstLine="0"/>
        <w:jc w:val="both"/>
        <w:rPr>
          <w:sz w:val="19"/>
        </w:rPr>
      </w:pPr>
      <w:r>
        <w:rPr>
          <w:w w:val="105"/>
          <w:sz w:val="19"/>
        </w:rPr>
        <w:t>Sur le corpus complet, si on s’intéresse uniquement aux ULHd alors on se rend compte que ce corpus d’ULHd est surtout composé d’ULHd issues du corpus exclusif 2011 (43</w:t>
      </w:r>
      <w:r>
        <w:rPr>
          <w:spacing w:val="-9"/>
          <w:w w:val="105"/>
          <w:sz w:val="19"/>
        </w:rPr>
        <w:t> </w:t>
      </w:r>
      <w:r>
        <w:rPr>
          <w:w w:val="105"/>
          <w:sz w:val="19"/>
        </w:rPr>
        <w:t>%).</w:t>
      </w:r>
    </w:p>
    <w:p>
      <w:pPr>
        <w:pStyle w:val="BodyText"/>
        <w:spacing w:line="254" w:lineRule="auto" w:before="3"/>
        <w:ind w:left="440" w:right="441"/>
        <w:jc w:val="both"/>
      </w:pPr>
      <w:r>
        <w:rPr>
          <w:w w:val="105"/>
        </w:rPr>
        <w:t>Le corpus commun illustre une forme de consensus autour de ces unités lexicales, à la fois dans le temps (permanence et stabilité de ces termes),</w:t>
      </w:r>
      <w:r>
        <w:rPr>
          <w:spacing w:val="49"/>
          <w:w w:val="105"/>
        </w:rPr>
        <w:t> </w:t>
      </w:r>
      <w:r>
        <w:rPr>
          <w:w w:val="105"/>
        </w:rPr>
        <w:t>et dans le partage (nombreuses occurrences). Nous pouvons constater une augmentation des occurrences sur le corpus 2011, montrant que si   de</w:t>
      </w:r>
      <w:r>
        <w:rPr>
          <w:spacing w:val="16"/>
          <w:w w:val="105"/>
        </w:rPr>
        <w:t> </w:t>
      </w:r>
      <w:r>
        <w:rPr>
          <w:w w:val="105"/>
        </w:rPr>
        <w:t>nouvelles</w:t>
      </w:r>
      <w:r>
        <w:rPr>
          <w:spacing w:val="16"/>
          <w:w w:val="105"/>
        </w:rPr>
        <w:t> </w:t>
      </w:r>
      <w:r>
        <w:rPr>
          <w:w w:val="105"/>
        </w:rPr>
        <w:t>ULH</w:t>
      </w:r>
      <w:r>
        <w:rPr>
          <w:spacing w:val="18"/>
          <w:w w:val="105"/>
        </w:rPr>
        <w:t> </w:t>
      </w:r>
      <w:r>
        <w:rPr>
          <w:w w:val="105"/>
        </w:rPr>
        <w:t>sont</w:t>
      </w:r>
      <w:r>
        <w:rPr>
          <w:spacing w:val="16"/>
          <w:w w:val="105"/>
        </w:rPr>
        <w:t> </w:t>
      </w:r>
      <w:r>
        <w:rPr>
          <w:w w:val="105"/>
        </w:rPr>
        <w:t>utilisées,</w:t>
      </w:r>
      <w:r>
        <w:rPr>
          <w:spacing w:val="16"/>
          <w:w w:val="105"/>
        </w:rPr>
        <w:t> </w:t>
      </w:r>
      <w:r>
        <w:rPr>
          <w:w w:val="105"/>
        </w:rPr>
        <w:t>elles</w:t>
      </w:r>
      <w:r>
        <w:rPr>
          <w:spacing w:val="16"/>
          <w:w w:val="105"/>
        </w:rPr>
        <w:t> </w:t>
      </w:r>
      <w:r>
        <w:rPr>
          <w:w w:val="105"/>
        </w:rPr>
        <w:t>en</w:t>
      </w:r>
      <w:r>
        <w:rPr>
          <w:spacing w:val="17"/>
          <w:w w:val="105"/>
        </w:rPr>
        <w:t> </w:t>
      </w:r>
      <w:r>
        <w:rPr>
          <w:w w:val="105"/>
        </w:rPr>
        <w:t>appellent</w:t>
      </w:r>
      <w:r>
        <w:rPr>
          <w:spacing w:val="16"/>
          <w:w w:val="105"/>
        </w:rPr>
        <w:t> </w:t>
      </w:r>
      <w:r>
        <w:rPr>
          <w:w w:val="105"/>
        </w:rPr>
        <w:t>pour</w:t>
      </w:r>
      <w:r>
        <w:rPr>
          <w:spacing w:val="16"/>
          <w:w w:val="105"/>
        </w:rPr>
        <w:t> </w:t>
      </w:r>
      <w:r>
        <w:rPr>
          <w:w w:val="105"/>
        </w:rPr>
        <w:t>leur</w:t>
      </w:r>
      <w:r>
        <w:rPr>
          <w:spacing w:val="16"/>
          <w:w w:val="105"/>
        </w:rPr>
        <w:t> </w:t>
      </w:r>
      <w:r>
        <w:rPr>
          <w:w w:val="105"/>
        </w:rPr>
        <w:t>majorité</w:t>
      </w:r>
      <w:r>
        <w:rPr>
          <w:spacing w:val="16"/>
          <w:w w:val="105"/>
        </w:rPr>
        <w:t> </w:t>
      </w:r>
      <w:r>
        <w:rPr>
          <w:w w:val="105"/>
        </w:rPr>
        <w:t>à</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ind w:left="440"/>
        <w:jc w:val="both"/>
      </w:pPr>
      <w:r>
        <w:rPr>
          <w:w w:val="105"/>
        </w:rPr>
        <w:t>des ULH existantes dans le corpus, ou encore à de nouvelles ULH   mais</w:t>
      </w:r>
    </w:p>
    <w:p>
      <w:pPr>
        <w:pStyle w:val="BodyText"/>
        <w:spacing w:before="12"/>
        <w:ind w:left="440"/>
        <w:jc w:val="both"/>
      </w:pPr>
      <w:r>
        <w:rPr>
          <w:w w:val="105"/>
        </w:rPr>
        <w:t>« harmonisées » puisqu’à occurrences multiples.</w:t>
      </w:r>
    </w:p>
    <w:p>
      <w:pPr>
        <w:pStyle w:val="BodyText"/>
        <w:spacing w:before="1"/>
        <w:rPr>
          <w:sz w:val="21"/>
        </w:rPr>
      </w:pPr>
    </w:p>
    <w:p>
      <w:pPr>
        <w:pStyle w:val="Heading1"/>
      </w:pPr>
      <w:r>
        <w:rPr>
          <w:w w:val="105"/>
        </w:rPr>
        <w:t>4.2. Taxonomie</w:t>
      </w:r>
    </w:p>
    <w:p>
      <w:pPr>
        <w:pStyle w:val="BodyText"/>
        <w:spacing w:line="252" w:lineRule="auto" w:before="12"/>
        <w:ind w:left="440" w:right="443"/>
        <w:jc w:val="both"/>
      </w:pPr>
      <w:r>
        <w:rPr>
          <w:w w:val="105"/>
        </w:rPr>
        <w:t>Nous avons classé chacune des ULH dans les différentes classes de la taxonomie présentée précédemment (cf. Tableau 1). Le Tableau 5 donne les statistiques de classement des ULH pour les deux années en précisant les ULH classées des ULH non classées.</w:t>
      </w:r>
    </w:p>
    <w:p>
      <w:pPr>
        <w:pStyle w:val="BodyText"/>
        <w:spacing w:before="8"/>
      </w:pPr>
    </w:p>
    <w:tbl>
      <w:tblPr>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2"/>
        <w:gridCol w:w="1397"/>
        <w:gridCol w:w="1560"/>
        <w:gridCol w:w="1339"/>
      </w:tblGrid>
      <w:tr>
        <w:trPr>
          <w:trHeight w:val="821" w:hRule="exact"/>
        </w:trPr>
        <w:tc>
          <w:tcPr>
            <w:tcW w:w="1262" w:type="dxa"/>
          </w:tcPr>
          <w:p>
            <w:pPr/>
          </w:p>
        </w:tc>
        <w:tc>
          <w:tcPr>
            <w:tcW w:w="1397" w:type="dxa"/>
          </w:tcPr>
          <w:p>
            <w:pPr>
              <w:pStyle w:val="TableParagraph"/>
              <w:tabs>
                <w:tab w:pos="556" w:val="left" w:leader="none"/>
                <w:tab w:pos="1196" w:val="left" w:leader="none"/>
              </w:tabs>
              <w:spacing w:line="256" w:lineRule="auto" w:before="7"/>
              <w:ind w:right="99"/>
              <w:rPr>
                <w:sz w:val="17"/>
              </w:rPr>
            </w:pPr>
            <w:r>
              <w:rPr>
                <w:w w:val="105"/>
                <w:sz w:val="17"/>
              </w:rPr>
              <w:t>Corpus complet Nb</w:t>
              <w:tab/>
              <w:t>ULHt</w:t>
              <w:tab/>
              <w:t>/ ULHd</w:t>
            </w:r>
          </w:p>
        </w:tc>
        <w:tc>
          <w:tcPr>
            <w:tcW w:w="1560" w:type="dxa"/>
          </w:tcPr>
          <w:p>
            <w:pPr>
              <w:pStyle w:val="TableParagraph"/>
              <w:spacing w:before="7"/>
              <w:ind w:right="100"/>
              <w:rPr>
                <w:sz w:val="17"/>
              </w:rPr>
            </w:pPr>
            <w:r>
              <w:rPr>
                <w:w w:val="105"/>
                <w:sz w:val="17"/>
              </w:rPr>
              <w:t>Corpus classés</w:t>
            </w:r>
          </w:p>
          <w:p>
            <w:pPr>
              <w:pStyle w:val="TableParagraph"/>
              <w:tabs>
                <w:tab w:pos="1358" w:val="left" w:leader="none"/>
              </w:tabs>
              <w:spacing w:line="252" w:lineRule="auto" w:before="15"/>
              <w:ind w:right="100"/>
              <w:rPr>
                <w:sz w:val="17"/>
              </w:rPr>
            </w:pPr>
            <w:r>
              <w:rPr>
                <w:w w:val="105"/>
                <w:sz w:val="17"/>
              </w:rPr>
              <w:t>Nb  </w:t>
            </w:r>
            <w:r>
              <w:rPr>
                <w:spacing w:val="25"/>
                <w:w w:val="105"/>
                <w:sz w:val="17"/>
              </w:rPr>
              <w:t> </w:t>
            </w:r>
            <w:r>
              <w:rPr>
                <w:w w:val="105"/>
                <w:sz w:val="17"/>
              </w:rPr>
              <w:t>d’ULHt</w:t>
              <w:tab/>
              <w:t>/ ULHd</w:t>
            </w:r>
          </w:p>
        </w:tc>
        <w:tc>
          <w:tcPr>
            <w:tcW w:w="1339" w:type="dxa"/>
          </w:tcPr>
          <w:p>
            <w:pPr>
              <w:pStyle w:val="TableParagraph"/>
              <w:tabs>
                <w:tab w:pos="953" w:val="left" w:leader="none"/>
              </w:tabs>
              <w:spacing w:line="259" w:lineRule="auto" w:before="7"/>
              <w:ind w:right="99"/>
              <w:rPr>
                <w:sz w:val="17"/>
              </w:rPr>
            </w:pPr>
            <w:r>
              <w:rPr>
                <w:w w:val="105"/>
                <w:sz w:val="17"/>
              </w:rPr>
              <w:t>Corpus</w:t>
              <w:tab/>
              <w:t>non classés</w:t>
            </w:r>
          </w:p>
          <w:p>
            <w:pPr>
              <w:pStyle w:val="TableParagraph"/>
              <w:spacing w:line="252" w:lineRule="auto"/>
              <w:rPr>
                <w:sz w:val="17"/>
              </w:rPr>
            </w:pPr>
            <w:r>
              <w:rPr>
                <w:w w:val="105"/>
                <w:sz w:val="17"/>
              </w:rPr>
              <w:t>Nb d’ULHt / ULHd</w:t>
            </w:r>
          </w:p>
        </w:tc>
      </w:tr>
      <w:tr>
        <w:trPr>
          <w:trHeight w:val="216" w:hRule="exact"/>
        </w:trPr>
        <w:tc>
          <w:tcPr>
            <w:tcW w:w="1262" w:type="dxa"/>
          </w:tcPr>
          <w:p>
            <w:pPr>
              <w:pStyle w:val="TableParagraph"/>
              <w:spacing w:before="7"/>
              <w:ind w:right="101"/>
              <w:rPr>
                <w:sz w:val="17"/>
              </w:rPr>
            </w:pPr>
            <w:r>
              <w:rPr>
                <w:w w:val="105"/>
                <w:sz w:val="17"/>
              </w:rPr>
              <w:t>Corpus 2009</w:t>
            </w:r>
          </w:p>
        </w:tc>
        <w:tc>
          <w:tcPr>
            <w:tcW w:w="1397" w:type="dxa"/>
          </w:tcPr>
          <w:p>
            <w:pPr>
              <w:pStyle w:val="TableParagraph"/>
              <w:spacing w:before="7"/>
              <w:rPr>
                <w:sz w:val="17"/>
              </w:rPr>
            </w:pPr>
            <w:r>
              <w:rPr>
                <w:w w:val="105"/>
                <w:sz w:val="17"/>
              </w:rPr>
              <w:t>2096 / 1589</w:t>
            </w:r>
          </w:p>
        </w:tc>
        <w:tc>
          <w:tcPr>
            <w:tcW w:w="1560" w:type="dxa"/>
          </w:tcPr>
          <w:p>
            <w:pPr>
              <w:pStyle w:val="TableParagraph"/>
              <w:spacing w:before="7"/>
              <w:ind w:right="100"/>
              <w:rPr>
                <w:sz w:val="17"/>
              </w:rPr>
            </w:pPr>
            <w:r>
              <w:rPr>
                <w:w w:val="105"/>
                <w:sz w:val="17"/>
              </w:rPr>
              <w:t>1385 / 961</w:t>
            </w:r>
          </w:p>
        </w:tc>
        <w:tc>
          <w:tcPr>
            <w:tcW w:w="1339" w:type="dxa"/>
          </w:tcPr>
          <w:p>
            <w:pPr>
              <w:pStyle w:val="TableParagraph"/>
              <w:spacing w:before="7"/>
              <w:rPr>
                <w:sz w:val="17"/>
              </w:rPr>
            </w:pPr>
            <w:r>
              <w:rPr>
                <w:w w:val="105"/>
                <w:sz w:val="17"/>
              </w:rPr>
              <w:t>711 / 636</w:t>
            </w:r>
          </w:p>
        </w:tc>
      </w:tr>
      <w:tr>
        <w:trPr>
          <w:trHeight w:val="211" w:hRule="exact"/>
        </w:trPr>
        <w:tc>
          <w:tcPr>
            <w:tcW w:w="1262" w:type="dxa"/>
          </w:tcPr>
          <w:p>
            <w:pPr>
              <w:pStyle w:val="TableParagraph"/>
              <w:spacing w:before="7"/>
              <w:ind w:right="101"/>
              <w:rPr>
                <w:sz w:val="17"/>
              </w:rPr>
            </w:pPr>
            <w:r>
              <w:rPr>
                <w:w w:val="105"/>
                <w:sz w:val="17"/>
              </w:rPr>
              <w:t>Corpus 2011</w:t>
            </w:r>
          </w:p>
        </w:tc>
        <w:tc>
          <w:tcPr>
            <w:tcW w:w="1397" w:type="dxa"/>
          </w:tcPr>
          <w:p>
            <w:pPr>
              <w:pStyle w:val="TableParagraph"/>
              <w:spacing w:before="7"/>
              <w:rPr>
                <w:sz w:val="17"/>
              </w:rPr>
            </w:pPr>
            <w:r>
              <w:rPr>
                <w:w w:val="105"/>
                <w:sz w:val="17"/>
              </w:rPr>
              <w:t>2940 / 1782</w:t>
            </w:r>
          </w:p>
        </w:tc>
        <w:tc>
          <w:tcPr>
            <w:tcW w:w="1560" w:type="dxa"/>
          </w:tcPr>
          <w:p>
            <w:pPr>
              <w:pStyle w:val="TableParagraph"/>
              <w:spacing w:before="7"/>
              <w:ind w:right="100"/>
              <w:rPr>
                <w:sz w:val="17"/>
              </w:rPr>
            </w:pPr>
            <w:r>
              <w:rPr>
                <w:w w:val="105"/>
                <w:sz w:val="17"/>
              </w:rPr>
              <w:t>2028 / 1156</w:t>
            </w:r>
          </w:p>
        </w:tc>
        <w:tc>
          <w:tcPr>
            <w:tcW w:w="1339" w:type="dxa"/>
          </w:tcPr>
          <w:p>
            <w:pPr>
              <w:pStyle w:val="TableParagraph"/>
              <w:spacing w:before="7"/>
              <w:rPr>
                <w:sz w:val="17"/>
              </w:rPr>
            </w:pPr>
            <w:r>
              <w:rPr>
                <w:w w:val="105"/>
                <w:sz w:val="17"/>
              </w:rPr>
              <w:t>912 / 739</w:t>
            </w:r>
          </w:p>
        </w:tc>
      </w:tr>
      <w:tr>
        <w:trPr>
          <w:trHeight w:val="614" w:hRule="exact"/>
        </w:trPr>
        <w:tc>
          <w:tcPr>
            <w:tcW w:w="1262" w:type="dxa"/>
          </w:tcPr>
          <w:p>
            <w:pPr>
              <w:pStyle w:val="TableParagraph"/>
              <w:tabs>
                <w:tab w:pos="671" w:val="left" w:leader="none"/>
                <w:tab w:pos="1066" w:val="left" w:leader="none"/>
              </w:tabs>
              <w:spacing w:line="252" w:lineRule="auto" w:before="7"/>
              <w:ind w:right="101"/>
              <w:rPr>
                <w:sz w:val="17"/>
              </w:rPr>
            </w:pPr>
            <w:r>
              <w:rPr>
                <w:w w:val="105"/>
                <w:sz w:val="17"/>
              </w:rPr>
              <w:t>Variation  entre</w:t>
              <w:tab/>
              <w:t>les</w:t>
              <w:tab/>
              <w:t>2 années</w:t>
            </w:r>
          </w:p>
        </w:tc>
        <w:tc>
          <w:tcPr>
            <w:tcW w:w="1397" w:type="dxa"/>
          </w:tcPr>
          <w:p>
            <w:pPr>
              <w:pStyle w:val="TableParagraph"/>
              <w:spacing w:before="7"/>
              <w:rPr>
                <w:sz w:val="17"/>
              </w:rPr>
            </w:pPr>
            <w:r>
              <w:rPr>
                <w:w w:val="105"/>
                <w:sz w:val="17"/>
              </w:rPr>
              <w:t>+844 / +185</w:t>
            </w:r>
          </w:p>
        </w:tc>
        <w:tc>
          <w:tcPr>
            <w:tcW w:w="1560" w:type="dxa"/>
          </w:tcPr>
          <w:p>
            <w:pPr>
              <w:pStyle w:val="TableParagraph"/>
              <w:spacing w:before="7"/>
              <w:ind w:right="100"/>
              <w:rPr>
                <w:sz w:val="17"/>
              </w:rPr>
            </w:pPr>
            <w:r>
              <w:rPr>
                <w:w w:val="105"/>
                <w:sz w:val="17"/>
              </w:rPr>
              <w:t>+643 / +195</w:t>
            </w:r>
          </w:p>
        </w:tc>
        <w:tc>
          <w:tcPr>
            <w:tcW w:w="1339" w:type="dxa"/>
          </w:tcPr>
          <w:p>
            <w:pPr>
              <w:pStyle w:val="TableParagraph"/>
              <w:spacing w:before="7"/>
              <w:rPr>
                <w:sz w:val="17"/>
              </w:rPr>
            </w:pPr>
            <w:r>
              <w:rPr>
                <w:w w:val="105"/>
                <w:sz w:val="17"/>
              </w:rPr>
              <w:t>+201 / +103</w:t>
            </w:r>
          </w:p>
        </w:tc>
      </w:tr>
      <w:tr>
        <w:trPr>
          <w:trHeight w:val="418" w:hRule="exact"/>
        </w:trPr>
        <w:tc>
          <w:tcPr>
            <w:tcW w:w="1262" w:type="dxa"/>
          </w:tcPr>
          <w:p>
            <w:pPr>
              <w:pStyle w:val="TableParagraph"/>
              <w:spacing w:before="7"/>
              <w:rPr>
                <w:sz w:val="17"/>
              </w:rPr>
            </w:pPr>
            <w:r>
              <w:rPr>
                <w:w w:val="105"/>
                <w:sz w:val="17"/>
              </w:rPr>
              <w:t>Progression en</w:t>
            </w:r>
          </w:p>
          <w:p>
            <w:pPr>
              <w:pStyle w:val="TableParagraph"/>
              <w:spacing w:before="15"/>
              <w:rPr>
                <w:sz w:val="17"/>
              </w:rPr>
            </w:pPr>
            <w:r>
              <w:rPr>
                <w:w w:val="104"/>
                <w:sz w:val="17"/>
              </w:rPr>
              <w:t>%</w:t>
            </w:r>
          </w:p>
        </w:tc>
        <w:tc>
          <w:tcPr>
            <w:tcW w:w="1397" w:type="dxa"/>
          </w:tcPr>
          <w:p>
            <w:pPr>
              <w:pStyle w:val="TableParagraph"/>
              <w:spacing w:before="7"/>
              <w:rPr>
                <w:sz w:val="17"/>
              </w:rPr>
            </w:pPr>
            <w:r>
              <w:rPr>
                <w:w w:val="105"/>
                <w:sz w:val="17"/>
              </w:rPr>
              <w:t>+40% /+11,5 %</w:t>
            </w:r>
          </w:p>
        </w:tc>
        <w:tc>
          <w:tcPr>
            <w:tcW w:w="1560" w:type="dxa"/>
          </w:tcPr>
          <w:p>
            <w:pPr>
              <w:pStyle w:val="TableParagraph"/>
              <w:tabs>
                <w:tab w:pos="1358" w:val="left" w:leader="none"/>
              </w:tabs>
              <w:spacing w:before="7"/>
              <w:ind w:left="150"/>
              <w:rPr>
                <w:sz w:val="17"/>
              </w:rPr>
            </w:pPr>
            <w:r>
              <w:rPr>
                <w:w w:val="105"/>
                <w:sz w:val="17"/>
              </w:rPr>
              <w:t>+46,4%</w:t>
              <w:tab/>
              <w:t>/</w:t>
            </w:r>
          </w:p>
          <w:p>
            <w:pPr>
              <w:pStyle w:val="TableParagraph"/>
              <w:spacing w:before="15"/>
              <w:ind w:right="100"/>
              <w:rPr>
                <w:sz w:val="17"/>
              </w:rPr>
            </w:pPr>
            <w:r>
              <w:rPr>
                <w:w w:val="105"/>
                <w:sz w:val="17"/>
              </w:rPr>
              <w:t>+20,3%</w:t>
            </w:r>
          </w:p>
        </w:tc>
        <w:tc>
          <w:tcPr>
            <w:tcW w:w="1339" w:type="dxa"/>
          </w:tcPr>
          <w:p>
            <w:pPr>
              <w:pStyle w:val="TableParagraph"/>
              <w:spacing w:before="7"/>
              <w:rPr>
                <w:sz w:val="17"/>
              </w:rPr>
            </w:pPr>
            <w:r>
              <w:rPr>
                <w:w w:val="105"/>
                <w:sz w:val="17"/>
              </w:rPr>
              <w:t>+28%/ +14%</w:t>
            </w:r>
          </w:p>
        </w:tc>
      </w:tr>
    </w:tbl>
    <w:p>
      <w:pPr>
        <w:pStyle w:val="BodyText"/>
        <w:spacing w:before="8"/>
      </w:pPr>
    </w:p>
    <w:p>
      <w:pPr>
        <w:spacing w:before="0"/>
        <w:ind w:left="440" w:right="0" w:firstLine="0"/>
        <w:jc w:val="both"/>
        <w:rPr>
          <w:i/>
          <w:sz w:val="16"/>
        </w:rPr>
      </w:pPr>
      <w:r>
        <w:rPr>
          <w:i/>
          <w:sz w:val="16"/>
        </w:rPr>
        <w:t>Tableau 5 : Caractéristiques des différents corpus.</w:t>
      </w:r>
    </w:p>
    <w:p>
      <w:pPr>
        <w:pStyle w:val="BodyText"/>
        <w:spacing w:before="5"/>
        <w:rPr>
          <w:i/>
          <w:sz w:val="20"/>
        </w:rPr>
      </w:pPr>
    </w:p>
    <w:p>
      <w:pPr>
        <w:pStyle w:val="BodyText"/>
        <w:spacing w:line="252" w:lineRule="auto" w:before="1"/>
        <w:ind w:left="440" w:right="442"/>
        <w:jc w:val="both"/>
      </w:pPr>
      <w:r>
        <w:rPr>
          <w:w w:val="105"/>
        </w:rPr>
        <w:t>Ainsi, une progression du nombre d’ULH entre les deux années</w:t>
      </w:r>
      <w:r>
        <w:rPr>
          <w:spacing w:val="49"/>
          <w:w w:val="105"/>
        </w:rPr>
        <w:t> </w:t>
      </w:r>
      <w:r>
        <w:rPr>
          <w:w w:val="105"/>
        </w:rPr>
        <w:t>s’observe aussi bien sur le corpus classé que le corpus non classé. Il est à noter que sur les 5036 ULH total du corpus complet (2009 et 2011 inclus), 32 % n’ont pas pu être classées au sein de notre taxonomie.   Nous retrouvons dans cette catégorie « non classées » les ULH rejetées, de spécialité et ambiguës (cf. 3.2 pour la définition des ULH non</w:t>
      </w:r>
      <w:r>
        <w:rPr>
          <w:spacing w:val="49"/>
          <w:w w:val="105"/>
        </w:rPr>
        <w:t> </w:t>
      </w:r>
      <w:r>
        <w:rPr>
          <w:w w:val="105"/>
        </w:rPr>
        <w:t>classées). Ce qui est important de noter, c’est que l’augmentation des non classés ne suit pas l’augmentation du nombre d’ULH (moins de</w:t>
      </w:r>
      <w:r>
        <w:rPr>
          <w:spacing w:val="-18"/>
          <w:w w:val="105"/>
        </w:rPr>
        <w:t> </w:t>
      </w:r>
      <w:r>
        <w:rPr>
          <w:w w:val="105"/>
        </w:rPr>
        <w:t>24%).</w:t>
      </w:r>
    </w:p>
    <w:p>
      <w:pPr>
        <w:pStyle w:val="BodyText"/>
        <w:spacing w:line="254" w:lineRule="auto" w:before="1"/>
        <w:ind w:left="440" w:right="443"/>
        <w:jc w:val="both"/>
      </w:pPr>
      <w:r>
        <w:rPr>
          <w:w w:val="105"/>
        </w:rPr>
        <w:t>Les données suivantes ne concernent que les ULH classées au sein de notre taxonomie, afin de permettre une meilleure visibilité, nous ne présenterons que les données concernant les ULHt en fonction des catégories.</w:t>
      </w:r>
    </w:p>
    <w:p>
      <w:pPr>
        <w:pStyle w:val="BodyText"/>
        <w:spacing w:line="254" w:lineRule="auto"/>
        <w:ind w:left="440" w:right="443"/>
        <w:jc w:val="both"/>
      </w:pPr>
      <w:r>
        <w:rPr>
          <w:w w:val="105"/>
        </w:rPr>
        <w:t>Concernant les ULH classées, si on reste au niveau des 3 catégories de notre taxonomie, il y a une grande différence en terme d’utilisation des ULH, avec une surreprésentation de la catégorie « navigation thématique</w:t>
      </w:r>
    </w:p>
    <w:p>
      <w:pPr>
        <w:pStyle w:val="BodyText"/>
        <w:spacing w:line="254" w:lineRule="auto"/>
        <w:ind w:left="440" w:right="443"/>
        <w:jc w:val="both"/>
      </w:pPr>
      <w:r>
        <w:rPr>
          <w:w w:val="105"/>
        </w:rPr>
        <w:t>» qui reste stable sur les deux années (Tableau 6) : pour les deux corpus exclusifs, 80 % des ULHt appartiennent à la classe « navigation thématique » alors que pour le corpus commun 2009-2011  cette</w:t>
      </w:r>
      <w:r>
        <w:rPr>
          <w:spacing w:val="49"/>
          <w:w w:val="105"/>
        </w:rPr>
        <w:t> </w:t>
      </w:r>
      <w:r>
        <w:rPr>
          <w:w w:val="105"/>
        </w:rPr>
        <w:t>catégorie diminue à 66%. Dans le corpus commun 2009-2011, 32 % des ULHt appartiennent à la catégorie « navigation fonctionnelle</w:t>
      </w:r>
      <w:r>
        <w:rPr>
          <w:spacing w:val="-17"/>
          <w:w w:val="105"/>
        </w:rPr>
        <w:t> </w:t>
      </w:r>
      <w:r>
        <w:rPr>
          <w:w w:val="105"/>
        </w:rPr>
        <w:t>».</w:t>
      </w:r>
    </w:p>
    <w:p>
      <w:pPr>
        <w:pStyle w:val="BodyText"/>
        <w:spacing w:line="254" w:lineRule="auto"/>
        <w:ind w:left="440" w:right="443"/>
        <w:jc w:val="both"/>
      </w:pPr>
      <w:r>
        <w:rPr>
          <w:w w:val="105"/>
        </w:rPr>
        <w:t>Lorsqu’on compare les deux corpus exclusifs catégorie par catégorie, certaines évolutions temporelles apparaissent :</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15% des ULHt de la classe « thématique » appartiennent au corpus exclusif 2009 contre 28 % appartenant au corpus exclusif 2011.</w:t>
      </w:r>
    </w:p>
    <w:p>
      <w:pPr>
        <w:pStyle w:val="BodyText"/>
        <w:spacing w:line="254" w:lineRule="auto"/>
        <w:ind w:left="440" w:right="444"/>
        <w:jc w:val="both"/>
      </w:pPr>
      <w:r>
        <w:rPr>
          <w:w w:val="105"/>
        </w:rPr>
        <w:t>5 % des ULHt de la classe « navigation par profil » appartiennent au corpus exclusif 2009 contre 35 % appartenant au corpus exclusif 2011.</w:t>
      </w:r>
    </w:p>
    <w:p>
      <w:pPr>
        <w:pStyle w:val="BodyText"/>
        <w:spacing w:line="254" w:lineRule="auto"/>
        <w:ind w:left="440" w:right="444"/>
        <w:jc w:val="both"/>
      </w:pPr>
      <w:r>
        <w:rPr>
          <w:w w:val="105"/>
        </w:rPr>
        <w:t>Concernant les ULHt de la classe « navigation fonctionnelle » il n’y a pas de différence entre les deux corpus exclusifs (10% pour 2009 et 15% pour</w:t>
      </w:r>
      <w:r>
        <w:rPr>
          <w:spacing w:val="-3"/>
          <w:w w:val="105"/>
        </w:rPr>
        <w:t> </w:t>
      </w:r>
      <w:r>
        <w:rPr>
          <w:w w:val="105"/>
        </w:rPr>
        <w:t>2011).</w:t>
      </w:r>
    </w:p>
    <w:p>
      <w:pPr>
        <w:pStyle w:val="BodyText"/>
        <w:spacing w:line="254" w:lineRule="auto"/>
        <w:ind w:left="440" w:right="441"/>
        <w:jc w:val="both"/>
      </w:pPr>
      <w:r>
        <w:rPr>
          <w:w w:val="105"/>
        </w:rPr>
        <w:t>La catégorie « navigation fonctionnelle » est la plus stable des trois, celle où les ULH restent majoritairement présentes sur les deux années (peu</w:t>
      </w:r>
      <w:r>
        <w:rPr>
          <w:spacing w:val="49"/>
          <w:w w:val="105"/>
        </w:rPr>
        <w:t> </w:t>
      </w:r>
      <w:r>
        <w:rPr>
          <w:w w:val="105"/>
        </w:rPr>
        <w:t>de disparition, peu de nouvelles ULH). On note par contre une prise en compte croissante des profils utilisateurs (apparition importante d’ULH dans cette catégorie en 2011). Quant à la navigation thématique, dont la présence majoritaire reste constante, elle témoigne de la dynamique la plus importante, avec des renouvellements d’ULH importants, ce qui est  à rapprocher des évolutions dans le temps de l’organisation</w:t>
      </w:r>
      <w:r>
        <w:rPr>
          <w:spacing w:val="-20"/>
          <w:w w:val="105"/>
        </w:rPr>
        <w:t> </w:t>
      </w:r>
      <w:r>
        <w:rPr>
          <w:w w:val="105"/>
        </w:rPr>
        <w:t>concernée.</w:t>
      </w:r>
    </w:p>
    <w:p>
      <w:pPr>
        <w:pStyle w:val="BodyText"/>
        <w:spacing w:before="1" w:after="1"/>
      </w:pPr>
    </w:p>
    <w:tbl>
      <w:tblPr>
        <w:tblW w:w="0" w:type="auto"/>
        <w:jc w:val="left"/>
        <w:tblInd w:w="44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47"/>
        <w:gridCol w:w="850"/>
        <w:gridCol w:w="571"/>
        <w:gridCol w:w="850"/>
        <w:gridCol w:w="710"/>
        <w:gridCol w:w="706"/>
        <w:gridCol w:w="566"/>
        <w:gridCol w:w="564"/>
      </w:tblGrid>
      <w:tr>
        <w:trPr>
          <w:trHeight w:val="187" w:hRule="exact"/>
        </w:trPr>
        <w:tc>
          <w:tcPr>
            <w:tcW w:w="847" w:type="dxa"/>
            <w:vMerge w:val="restart"/>
            <w:tcBorders>
              <w:right w:val="single" w:sz="4" w:space="0" w:color="000000"/>
            </w:tcBorders>
          </w:tcPr>
          <w:p>
            <w:pPr/>
          </w:p>
        </w:tc>
        <w:tc>
          <w:tcPr>
            <w:tcW w:w="4253" w:type="dxa"/>
            <w:gridSpan w:val="6"/>
            <w:tcBorders>
              <w:top w:val="single" w:sz="4" w:space="0" w:color="000000"/>
              <w:left w:val="single" w:sz="4" w:space="0" w:color="000000"/>
              <w:right w:val="single" w:sz="4" w:space="0" w:color="000000"/>
            </w:tcBorders>
          </w:tcPr>
          <w:p>
            <w:pPr>
              <w:pStyle w:val="TableParagraph"/>
              <w:spacing w:line="177" w:lineRule="exact"/>
              <w:rPr>
                <w:sz w:val="16"/>
              </w:rPr>
            </w:pPr>
            <w:r>
              <w:rPr>
                <w:sz w:val="16"/>
              </w:rPr>
              <w:t>Type de corpus d’ULHt</w:t>
            </w:r>
          </w:p>
        </w:tc>
        <w:tc>
          <w:tcPr>
            <w:tcW w:w="564" w:type="dxa"/>
            <w:vMerge w:val="restart"/>
            <w:tcBorders>
              <w:left w:val="single" w:sz="4" w:space="0" w:color="000000"/>
            </w:tcBorders>
          </w:tcPr>
          <w:p>
            <w:pPr/>
          </w:p>
        </w:tc>
      </w:tr>
      <w:tr>
        <w:trPr>
          <w:trHeight w:val="178" w:hRule="exact"/>
        </w:trPr>
        <w:tc>
          <w:tcPr>
            <w:tcW w:w="847" w:type="dxa"/>
            <w:vMerge/>
            <w:tcBorders>
              <w:bottom w:val="single" w:sz="4" w:space="0" w:color="000000"/>
              <w:right w:val="single" w:sz="4" w:space="0" w:color="000000"/>
            </w:tcBorders>
          </w:tcPr>
          <w:p>
            <w:pPr/>
          </w:p>
        </w:tc>
        <w:tc>
          <w:tcPr>
            <w:tcW w:w="1421" w:type="dxa"/>
            <w:gridSpan w:val="2"/>
            <w:tcBorders>
              <w:left w:val="single" w:sz="4" w:space="0" w:color="000000"/>
              <w:right w:val="single" w:sz="4" w:space="0" w:color="000000"/>
            </w:tcBorders>
          </w:tcPr>
          <w:p>
            <w:pPr>
              <w:pStyle w:val="TableParagraph"/>
              <w:spacing w:line="177" w:lineRule="exact"/>
              <w:rPr>
                <w:sz w:val="16"/>
              </w:rPr>
            </w:pPr>
            <w:r>
              <w:rPr>
                <w:sz w:val="16"/>
              </w:rPr>
              <w:t>Exclusifs 2009</w:t>
            </w:r>
          </w:p>
        </w:tc>
        <w:tc>
          <w:tcPr>
            <w:tcW w:w="1560" w:type="dxa"/>
            <w:gridSpan w:val="2"/>
            <w:tcBorders>
              <w:left w:val="single" w:sz="4" w:space="0" w:color="000000"/>
              <w:right w:val="single" w:sz="4" w:space="0" w:color="000000"/>
            </w:tcBorders>
          </w:tcPr>
          <w:p>
            <w:pPr>
              <w:pStyle w:val="TableParagraph"/>
              <w:spacing w:line="177" w:lineRule="exact"/>
              <w:ind w:left="100" w:right="100"/>
              <w:rPr>
                <w:sz w:val="16"/>
              </w:rPr>
            </w:pPr>
            <w:r>
              <w:rPr>
                <w:sz w:val="16"/>
              </w:rPr>
              <w:t>Commun 2009-2011</w:t>
            </w:r>
          </w:p>
        </w:tc>
        <w:tc>
          <w:tcPr>
            <w:tcW w:w="706" w:type="dxa"/>
            <w:tcBorders>
              <w:left w:val="single" w:sz="4" w:space="0" w:color="000000"/>
            </w:tcBorders>
          </w:tcPr>
          <w:p>
            <w:pPr>
              <w:pStyle w:val="TableParagraph"/>
              <w:spacing w:line="177" w:lineRule="exact"/>
              <w:ind w:left="100"/>
              <w:rPr>
                <w:sz w:val="16"/>
              </w:rPr>
            </w:pPr>
            <w:r>
              <w:rPr>
                <w:sz w:val="16"/>
              </w:rPr>
              <w:t>Exclusifs</w:t>
            </w:r>
          </w:p>
        </w:tc>
        <w:tc>
          <w:tcPr>
            <w:tcW w:w="566" w:type="dxa"/>
            <w:tcBorders>
              <w:right w:val="single" w:sz="4" w:space="0" w:color="000000"/>
            </w:tcBorders>
          </w:tcPr>
          <w:p>
            <w:pPr>
              <w:pStyle w:val="TableParagraph"/>
              <w:spacing w:line="177" w:lineRule="exact"/>
              <w:ind w:left="4" w:right="120"/>
              <w:rPr>
                <w:sz w:val="16"/>
              </w:rPr>
            </w:pPr>
            <w:r>
              <w:rPr>
                <w:sz w:val="16"/>
              </w:rPr>
              <w:t>2011</w:t>
            </w:r>
          </w:p>
        </w:tc>
        <w:tc>
          <w:tcPr>
            <w:tcW w:w="564" w:type="dxa"/>
            <w:vMerge/>
            <w:tcBorders>
              <w:left w:val="single" w:sz="4" w:space="0" w:color="000000"/>
              <w:bottom w:val="single" w:sz="4" w:space="0" w:color="000000"/>
            </w:tcBorders>
          </w:tcPr>
          <w:p>
            <w:pPr/>
          </w:p>
        </w:tc>
      </w:tr>
      <w:tr>
        <w:trPr>
          <w:trHeight w:val="739" w:hRule="exact"/>
        </w:trPr>
        <w:tc>
          <w:tcPr>
            <w:tcW w:w="847" w:type="dxa"/>
            <w:tcBorders>
              <w:top w:val="single" w:sz="4" w:space="0" w:color="000000"/>
              <w:left w:val="single" w:sz="2" w:space="0" w:color="000000"/>
              <w:bottom w:val="single" w:sz="4" w:space="0" w:color="000000"/>
              <w:right w:val="single" w:sz="4" w:space="0" w:color="000000"/>
            </w:tcBorders>
          </w:tcPr>
          <w:p>
            <w:pPr>
              <w:pStyle w:val="TableParagraph"/>
              <w:spacing w:before="1"/>
              <w:ind w:right="125"/>
              <w:rPr>
                <w:sz w:val="16"/>
              </w:rPr>
            </w:pPr>
            <w:r>
              <w:rPr>
                <w:sz w:val="16"/>
              </w:rPr>
              <w:t>Catégorie de la taxonomi e</w:t>
            </w:r>
          </w:p>
        </w:tc>
        <w:tc>
          <w:tcPr>
            <w:tcW w:w="850" w:type="dxa"/>
            <w:tcBorders>
              <w:left w:val="single" w:sz="4" w:space="0" w:color="000000"/>
              <w:bottom w:val="single" w:sz="4" w:space="0" w:color="000000"/>
              <w:right w:val="single" w:sz="4" w:space="0" w:color="000000"/>
            </w:tcBorders>
          </w:tcPr>
          <w:p>
            <w:pPr>
              <w:pStyle w:val="TableParagraph"/>
              <w:spacing w:before="6"/>
              <w:ind w:right="125"/>
              <w:rPr>
                <w:sz w:val="16"/>
              </w:rPr>
            </w:pPr>
            <w:r>
              <w:rPr>
                <w:sz w:val="16"/>
              </w:rPr>
              <w:t>ULHt</w:t>
            </w:r>
          </w:p>
          <w:p>
            <w:pPr>
              <w:pStyle w:val="TableParagraph"/>
              <w:spacing w:line="237" w:lineRule="auto" w:before="3"/>
              <w:ind w:right="195"/>
              <w:rPr>
                <w:sz w:val="16"/>
              </w:rPr>
            </w:pPr>
            <w:r>
              <w:rPr>
                <w:sz w:val="16"/>
              </w:rPr>
              <w:t>(%/type corpus)</w:t>
            </w:r>
          </w:p>
        </w:tc>
        <w:tc>
          <w:tcPr>
            <w:tcW w:w="571" w:type="dxa"/>
            <w:tcBorders>
              <w:left w:val="single" w:sz="4" w:space="0" w:color="000000"/>
              <w:bottom w:val="single" w:sz="4" w:space="0" w:color="000000"/>
              <w:right w:val="single" w:sz="4" w:space="0" w:color="000000"/>
            </w:tcBorders>
          </w:tcPr>
          <w:p>
            <w:pPr>
              <w:pStyle w:val="TableParagraph"/>
              <w:spacing w:before="6"/>
              <w:rPr>
                <w:sz w:val="16"/>
              </w:rPr>
            </w:pPr>
            <w:r>
              <w:rPr>
                <w:w w:val="99"/>
                <w:sz w:val="16"/>
              </w:rPr>
              <w:t>%</w:t>
            </w:r>
          </w:p>
          <w:p>
            <w:pPr>
              <w:pStyle w:val="TableParagraph"/>
              <w:spacing w:before="2"/>
              <w:ind w:right="120"/>
              <w:rPr>
                <w:sz w:val="16"/>
              </w:rPr>
            </w:pPr>
            <w:r>
              <w:rPr>
                <w:sz w:val="16"/>
              </w:rPr>
              <w:t>par catég orie</w:t>
            </w:r>
          </w:p>
        </w:tc>
        <w:tc>
          <w:tcPr>
            <w:tcW w:w="850" w:type="dxa"/>
            <w:tcBorders>
              <w:left w:val="single" w:sz="4" w:space="0" w:color="000000"/>
              <w:bottom w:val="single" w:sz="4" w:space="0" w:color="000000"/>
              <w:right w:val="single" w:sz="4" w:space="0" w:color="000000"/>
            </w:tcBorders>
          </w:tcPr>
          <w:p>
            <w:pPr>
              <w:pStyle w:val="TableParagraph"/>
              <w:spacing w:before="6"/>
              <w:ind w:left="100" w:right="125"/>
              <w:rPr>
                <w:sz w:val="16"/>
              </w:rPr>
            </w:pPr>
            <w:r>
              <w:rPr>
                <w:sz w:val="16"/>
              </w:rPr>
              <w:t>ULHt</w:t>
            </w:r>
          </w:p>
          <w:p>
            <w:pPr>
              <w:pStyle w:val="TableParagraph"/>
              <w:spacing w:line="237" w:lineRule="auto" w:before="3"/>
              <w:ind w:left="100" w:right="200"/>
              <w:rPr>
                <w:sz w:val="16"/>
              </w:rPr>
            </w:pPr>
            <w:r>
              <w:rPr>
                <w:sz w:val="16"/>
              </w:rPr>
              <w:t>(%/type corpus)</w:t>
            </w:r>
          </w:p>
        </w:tc>
        <w:tc>
          <w:tcPr>
            <w:tcW w:w="710" w:type="dxa"/>
            <w:tcBorders>
              <w:left w:val="single" w:sz="4" w:space="0" w:color="000000"/>
              <w:bottom w:val="single" w:sz="4" w:space="0" w:color="000000"/>
              <w:right w:val="single" w:sz="4" w:space="0" w:color="000000"/>
            </w:tcBorders>
          </w:tcPr>
          <w:p>
            <w:pPr>
              <w:pStyle w:val="TableParagraph"/>
              <w:spacing w:before="92"/>
              <w:ind w:left="100" w:right="105"/>
              <w:jc w:val="both"/>
              <w:rPr>
                <w:sz w:val="16"/>
              </w:rPr>
            </w:pPr>
            <w:r>
              <w:rPr>
                <w:sz w:val="16"/>
              </w:rPr>
              <w:t>% par catégori e</w:t>
            </w:r>
          </w:p>
        </w:tc>
        <w:tc>
          <w:tcPr>
            <w:tcW w:w="706" w:type="dxa"/>
            <w:tcBorders>
              <w:left w:val="single" w:sz="4" w:space="0" w:color="000000"/>
              <w:bottom w:val="single" w:sz="4" w:space="0" w:color="000000"/>
              <w:right w:val="single" w:sz="4" w:space="0" w:color="000000"/>
            </w:tcBorders>
          </w:tcPr>
          <w:p>
            <w:pPr>
              <w:pStyle w:val="TableParagraph"/>
              <w:spacing w:before="6"/>
              <w:ind w:left="100" w:right="109"/>
              <w:rPr>
                <w:sz w:val="16"/>
              </w:rPr>
            </w:pPr>
            <w:r>
              <w:rPr>
                <w:sz w:val="16"/>
              </w:rPr>
              <w:t>ULHt</w:t>
            </w:r>
          </w:p>
          <w:p>
            <w:pPr>
              <w:pStyle w:val="TableParagraph"/>
              <w:spacing w:before="2"/>
              <w:ind w:left="100" w:right="109"/>
              <w:rPr>
                <w:sz w:val="16"/>
              </w:rPr>
            </w:pPr>
            <w:r>
              <w:rPr>
                <w:sz w:val="16"/>
              </w:rPr>
              <w:t>(%/typ e corpus)</w:t>
            </w:r>
          </w:p>
        </w:tc>
        <w:tc>
          <w:tcPr>
            <w:tcW w:w="566" w:type="dxa"/>
            <w:tcBorders>
              <w:left w:val="single" w:sz="4" w:space="0" w:color="000000"/>
              <w:bottom w:val="single" w:sz="4" w:space="0" w:color="000000"/>
              <w:right w:val="single" w:sz="4" w:space="0" w:color="000000"/>
            </w:tcBorders>
          </w:tcPr>
          <w:p>
            <w:pPr>
              <w:pStyle w:val="TableParagraph"/>
              <w:spacing w:before="6"/>
              <w:rPr>
                <w:sz w:val="16"/>
              </w:rPr>
            </w:pPr>
            <w:r>
              <w:rPr>
                <w:w w:val="99"/>
                <w:sz w:val="16"/>
              </w:rPr>
              <w:t>%</w:t>
            </w:r>
          </w:p>
          <w:p>
            <w:pPr>
              <w:pStyle w:val="TableParagraph"/>
              <w:spacing w:before="2"/>
              <w:ind w:right="115"/>
              <w:rPr>
                <w:sz w:val="16"/>
              </w:rPr>
            </w:pPr>
            <w:r>
              <w:rPr>
                <w:sz w:val="16"/>
              </w:rPr>
              <w:t>par catég orie</w:t>
            </w:r>
          </w:p>
        </w:tc>
        <w:tc>
          <w:tcPr>
            <w:tcW w:w="564" w:type="dxa"/>
            <w:tcBorders>
              <w:top w:val="single" w:sz="4" w:space="0" w:color="000000"/>
              <w:left w:val="single" w:sz="4" w:space="0" w:color="000000"/>
              <w:bottom w:val="single" w:sz="4" w:space="0" w:color="000000"/>
              <w:right w:val="single" w:sz="2" w:space="0" w:color="000000"/>
            </w:tcBorders>
          </w:tcPr>
          <w:p>
            <w:pPr>
              <w:pStyle w:val="TableParagraph"/>
              <w:ind w:left="0"/>
              <w:rPr>
                <w:sz w:val="16"/>
              </w:rPr>
            </w:pPr>
          </w:p>
          <w:p>
            <w:pPr>
              <w:pStyle w:val="TableParagraph"/>
              <w:spacing w:before="90"/>
              <w:rPr>
                <w:sz w:val="16"/>
              </w:rPr>
            </w:pPr>
            <w:r>
              <w:rPr>
                <w:sz w:val="16"/>
              </w:rPr>
              <w:t>Total</w:t>
            </w:r>
          </w:p>
        </w:tc>
      </w:tr>
      <w:tr>
        <w:trPr>
          <w:trHeight w:val="186" w:hRule="exact"/>
        </w:trPr>
        <w:tc>
          <w:tcPr>
            <w:tcW w:w="847" w:type="dxa"/>
            <w:tcBorders>
              <w:top w:val="single" w:sz="4" w:space="0" w:color="000000"/>
              <w:left w:val="single" w:sz="2" w:space="0" w:color="000000"/>
              <w:right w:val="single" w:sz="4" w:space="0" w:color="000000"/>
            </w:tcBorders>
          </w:tcPr>
          <w:p>
            <w:pPr>
              <w:pStyle w:val="TableParagraph"/>
              <w:spacing w:line="177" w:lineRule="exact"/>
              <w:ind w:right="12"/>
              <w:rPr>
                <w:sz w:val="16"/>
              </w:rPr>
            </w:pPr>
            <w:r>
              <w:rPr>
                <w:sz w:val="16"/>
              </w:rPr>
              <w:t>« navigati</w:t>
            </w:r>
          </w:p>
        </w:tc>
        <w:tc>
          <w:tcPr>
            <w:tcW w:w="850" w:type="dxa"/>
            <w:tcBorders>
              <w:top w:val="single" w:sz="4" w:space="0" w:color="000000"/>
              <w:left w:val="single" w:sz="4" w:space="0" w:color="000000"/>
              <w:right w:val="single" w:sz="4" w:space="0" w:color="000000"/>
            </w:tcBorders>
          </w:tcPr>
          <w:p>
            <w:pPr>
              <w:pStyle w:val="TableParagraph"/>
              <w:spacing w:line="177" w:lineRule="exact"/>
              <w:ind w:right="125"/>
              <w:rPr>
                <w:sz w:val="16"/>
              </w:rPr>
            </w:pPr>
            <w:r>
              <w:rPr>
                <w:sz w:val="16"/>
              </w:rPr>
              <w:t>366</w:t>
            </w:r>
          </w:p>
        </w:tc>
        <w:tc>
          <w:tcPr>
            <w:tcW w:w="571" w:type="dxa"/>
            <w:tcBorders>
              <w:top w:val="single" w:sz="4" w:space="0" w:color="000000"/>
              <w:left w:val="single" w:sz="4" w:space="0" w:color="000000"/>
              <w:right w:val="single" w:sz="4" w:space="0" w:color="000000"/>
            </w:tcBorders>
          </w:tcPr>
          <w:p>
            <w:pPr/>
          </w:p>
        </w:tc>
        <w:tc>
          <w:tcPr>
            <w:tcW w:w="850" w:type="dxa"/>
            <w:tcBorders>
              <w:top w:val="single" w:sz="4" w:space="0" w:color="000000"/>
              <w:left w:val="single" w:sz="4" w:space="0" w:color="000000"/>
              <w:right w:val="single" w:sz="4" w:space="0" w:color="000000"/>
            </w:tcBorders>
          </w:tcPr>
          <w:p>
            <w:pPr>
              <w:pStyle w:val="TableParagraph"/>
              <w:spacing w:line="177" w:lineRule="exact"/>
              <w:ind w:left="100" w:right="125"/>
              <w:rPr>
                <w:sz w:val="16"/>
              </w:rPr>
            </w:pPr>
            <w:r>
              <w:rPr>
                <w:sz w:val="16"/>
              </w:rPr>
              <w:t>1382</w:t>
            </w:r>
          </w:p>
        </w:tc>
        <w:tc>
          <w:tcPr>
            <w:tcW w:w="710" w:type="dxa"/>
            <w:tcBorders>
              <w:top w:val="single" w:sz="4" w:space="0" w:color="000000"/>
              <w:left w:val="single" w:sz="4" w:space="0" w:color="000000"/>
              <w:right w:val="single" w:sz="4" w:space="0" w:color="000000"/>
            </w:tcBorders>
          </w:tcPr>
          <w:p>
            <w:pPr/>
          </w:p>
        </w:tc>
        <w:tc>
          <w:tcPr>
            <w:tcW w:w="706" w:type="dxa"/>
            <w:tcBorders>
              <w:top w:val="single" w:sz="4" w:space="0" w:color="000000"/>
              <w:left w:val="single" w:sz="4" w:space="0" w:color="000000"/>
              <w:right w:val="single" w:sz="4" w:space="0" w:color="000000"/>
            </w:tcBorders>
          </w:tcPr>
          <w:p>
            <w:pPr>
              <w:pStyle w:val="TableParagraph"/>
              <w:spacing w:line="177" w:lineRule="exact"/>
              <w:ind w:left="100" w:right="109"/>
              <w:rPr>
                <w:sz w:val="16"/>
              </w:rPr>
            </w:pPr>
            <w:r>
              <w:rPr>
                <w:sz w:val="16"/>
              </w:rPr>
              <w:t>684</w:t>
            </w:r>
          </w:p>
        </w:tc>
        <w:tc>
          <w:tcPr>
            <w:tcW w:w="566" w:type="dxa"/>
            <w:tcBorders>
              <w:top w:val="single" w:sz="4" w:space="0" w:color="000000"/>
              <w:left w:val="single" w:sz="4" w:space="0" w:color="000000"/>
              <w:right w:val="single" w:sz="4" w:space="0" w:color="000000"/>
            </w:tcBorders>
          </w:tcPr>
          <w:p>
            <w:pPr/>
          </w:p>
        </w:tc>
        <w:tc>
          <w:tcPr>
            <w:tcW w:w="564" w:type="dxa"/>
            <w:tcBorders>
              <w:top w:val="single" w:sz="4" w:space="0" w:color="000000"/>
              <w:left w:val="single" w:sz="4" w:space="0" w:color="000000"/>
              <w:right w:val="single" w:sz="2" w:space="0" w:color="000000"/>
            </w:tcBorders>
          </w:tcPr>
          <w:p>
            <w:pPr/>
          </w:p>
        </w:tc>
      </w:tr>
      <w:tr>
        <w:trPr>
          <w:trHeight w:val="360" w:hRule="exact"/>
        </w:trPr>
        <w:tc>
          <w:tcPr>
            <w:tcW w:w="847" w:type="dxa"/>
            <w:tcBorders>
              <w:left w:val="single" w:sz="2" w:space="0" w:color="000000"/>
              <w:right w:val="single" w:sz="4" w:space="0" w:color="000000"/>
            </w:tcBorders>
          </w:tcPr>
          <w:p>
            <w:pPr>
              <w:pStyle w:val="TableParagraph"/>
              <w:spacing w:line="242" w:lineRule="auto"/>
              <w:ind w:right="12"/>
              <w:rPr>
                <w:sz w:val="16"/>
              </w:rPr>
            </w:pPr>
            <w:r>
              <w:rPr>
                <w:sz w:val="16"/>
              </w:rPr>
              <w:t>on </w:t>
            </w:r>
            <w:r>
              <w:rPr>
                <w:w w:val="95"/>
                <w:sz w:val="16"/>
              </w:rPr>
              <w:t>thématiqu</w:t>
            </w:r>
          </w:p>
        </w:tc>
        <w:tc>
          <w:tcPr>
            <w:tcW w:w="850" w:type="dxa"/>
            <w:tcBorders>
              <w:left w:val="single" w:sz="4" w:space="0" w:color="000000"/>
              <w:right w:val="single" w:sz="4" w:space="0" w:color="000000"/>
            </w:tcBorders>
          </w:tcPr>
          <w:p>
            <w:pPr>
              <w:pStyle w:val="TableParagraph"/>
              <w:spacing w:line="173" w:lineRule="exact"/>
              <w:ind w:right="125"/>
              <w:rPr>
                <w:sz w:val="16"/>
              </w:rPr>
            </w:pPr>
            <w:r>
              <w:rPr>
                <w:sz w:val="16"/>
              </w:rPr>
              <w:t>(80%)</w:t>
            </w:r>
          </w:p>
        </w:tc>
        <w:tc>
          <w:tcPr>
            <w:tcW w:w="571" w:type="dxa"/>
            <w:tcBorders>
              <w:left w:val="single" w:sz="4" w:space="0" w:color="000000"/>
              <w:right w:val="single" w:sz="4" w:space="0" w:color="000000"/>
            </w:tcBorders>
          </w:tcPr>
          <w:p>
            <w:pPr>
              <w:pStyle w:val="TableParagraph"/>
              <w:spacing w:before="84"/>
              <w:ind w:right="120"/>
              <w:rPr>
                <w:sz w:val="16"/>
              </w:rPr>
            </w:pPr>
            <w:r>
              <w:rPr>
                <w:sz w:val="16"/>
              </w:rPr>
              <w:t>15%</w:t>
            </w:r>
          </w:p>
        </w:tc>
        <w:tc>
          <w:tcPr>
            <w:tcW w:w="850" w:type="dxa"/>
            <w:tcBorders>
              <w:left w:val="single" w:sz="4" w:space="0" w:color="000000"/>
              <w:right w:val="single" w:sz="4" w:space="0" w:color="000000"/>
            </w:tcBorders>
          </w:tcPr>
          <w:p>
            <w:pPr>
              <w:pStyle w:val="TableParagraph"/>
              <w:spacing w:line="173" w:lineRule="exact"/>
              <w:ind w:left="100" w:right="125"/>
              <w:rPr>
                <w:sz w:val="16"/>
              </w:rPr>
            </w:pPr>
            <w:r>
              <w:rPr>
                <w:sz w:val="16"/>
              </w:rPr>
              <w:t>(66%)</w:t>
            </w:r>
          </w:p>
        </w:tc>
        <w:tc>
          <w:tcPr>
            <w:tcW w:w="710" w:type="dxa"/>
            <w:tcBorders>
              <w:left w:val="single" w:sz="4" w:space="0" w:color="000000"/>
              <w:right w:val="single" w:sz="4" w:space="0" w:color="000000"/>
            </w:tcBorders>
          </w:tcPr>
          <w:p>
            <w:pPr>
              <w:pStyle w:val="TableParagraph"/>
              <w:spacing w:before="84"/>
              <w:ind w:left="100"/>
              <w:rPr>
                <w:sz w:val="16"/>
              </w:rPr>
            </w:pPr>
            <w:r>
              <w:rPr>
                <w:sz w:val="16"/>
              </w:rPr>
              <w:t>57%</w:t>
            </w:r>
          </w:p>
        </w:tc>
        <w:tc>
          <w:tcPr>
            <w:tcW w:w="706" w:type="dxa"/>
            <w:tcBorders>
              <w:left w:val="single" w:sz="4" w:space="0" w:color="000000"/>
              <w:right w:val="single" w:sz="4" w:space="0" w:color="000000"/>
            </w:tcBorders>
          </w:tcPr>
          <w:p>
            <w:pPr>
              <w:pStyle w:val="TableParagraph"/>
              <w:spacing w:line="173" w:lineRule="exact"/>
              <w:ind w:left="100" w:right="109"/>
              <w:rPr>
                <w:sz w:val="16"/>
              </w:rPr>
            </w:pPr>
            <w:r>
              <w:rPr>
                <w:sz w:val="16"/>
              </w:rPr>
              <w:t>(80%)</w:t>
            </w:r>
          </w:p>
        </w:tc>
        <w:tc>
          <w:tcPr>
            <w:tcW w:w="566" w:type="dxa"/>
            <w:tcBorders>
              <w:left w:val="single" w:sz="4" w:space="0" w:color="000000"/>
              <w:right w:val="single" w:sz="4" w:space="0" w:color="000000"/>
            </w:tcBorders>
          </w:tcPr>
          <w:p>
            <w:pPr>
              <w:pStyle w:val="TableParagraph"/>
              <w:spacing w:before="84"/>
              <w:ind w:left="0" w:right="168"/>
              <w:jc w:val="right"/>
              <w:rPr>
                <w:sz w:val="16"/>
              </w:rPr>
            </w:pPr>
            <w:r>
              <w:rPr>
                <w:w w:val="95"/>
                <w:sz w:val="16"/>
              </w:rPr>
              <w:t>28%</w:t>
            </w:r>
          </w:p>
        </w:tc>
        <w:tc>
          <w:tcPr>
            <w:tcW w:w="564" w:type="dxa"/>
            <w:tcBorders>
              <w:left w:val="single" w:sz="4" w:space="0" w:color="000000"/>
              <w:right w:val="single" w:sz="2" w:space="0" w:color="000000"/>
            </w:tcBorders>
          </w:tcPr>
          <w:p>
            <w:pPr>
              <w:pStyle w:val="TableParagraph"/>
              <w:spacing w:before="84"/>
              <w:rPr>
                <w:sz w:val="16"/>
              </w:rPr>
            </w:pPr>
            <w:r>
              <w:rPr>
                <w:sz w:val="16"/>
              </w:rPr>
              <w:t>2432</w:t>
            </w:r>
          </w:p>
        </w:tc>
      </w:tr>
      <w:tr>
        <w:trPr>
          <w:trHeight w:val="184" w:hRule="exact"/>
        </w:trPr>
        <w:tc>
          <w:tcPr>
            <w:tcW w:w="847" w:type="dxa"/>
            <w:tcBorders>
              <w:left w:val="single" w:sz="2" w:space="0" w:color="000000"/>
              <w:bottom w:val="single" w:sz="4" w:space="0" w:color="000000"/>
              <w:right w:val="single" w:sz="4" w:space="0" w:color="000000"/>
            </w:tcBorders>
          </w:tcPr>
          <w:p>
            <w:pPr>
              <w:pStyle w:val="TableParagraph"/>
              <w:spacing w:line="173" w:lineRule="exact"/>
              <w:ind w:right="125"/>
              <w:rPr>
                <w:sz w:val="16"/>
              </w:rPr>
            </w:pPr>
            <w:r>
              <w:rPr>
                <w:sz w:val="16"/>
              </w:rPr>
              <w:t>e »</w:t>
            </w:r>
          </w:p>
        </w:tc>
        <w:tc>
          <w:tcPr>
            <w:tcW w:w="850" w:type="dxa"/>
            <w:tcBorders>
              <w:left w:val="single" w:sz="4" w:space="0" w:color="000000"/>
              <w:bottom w:val="single" w:sz="4" w:space="0" w:color="000000"/>
              <w:right w:val="single" w:sz="4" w:space="0" w:color="000000"/>
            </w:tcBorders>
          </w:tcPr>
          <w:p>
            <w:pPr/>
          </w:p>
        </w:tc>
        <w:tc>
          <w:tcPr>
            <w:tcW w:w="571" w:type="dxa"/>
            <w:tcBorders>
              <w:left w:val="single" w:sz="4" w:space="0" w:color="000000"/>
              <w:bottom w:val="single" w:sz="4" w:space="0" w:color="000000"/>
              <w:right w:val="single" w:sz="4" w:space="0" w:color="000000"/>
            </w:tcBorders>
          </w:tcPr>
          <w:p>
            <w:pPr/>
          </w:p>
        </w:tc>
        <w:tc>
          <w:tcPr>
            <w:tcW w:w="850" w:type="dxa"/>
            <w:tcBorders>
              <w:left w:val="single" w:sz="4" w:space="0" w:color="000000"/>
              <w:bottom w:val="single" w:sz="4" w:space="0" w:color="000000"/>
              <w:right w:val="single" w:sz="4" w:space="0" w:color="000000"/>
            </w:tcBorders>
          </w:tcPr>
          <w:p>
            <w:pPr/>
          </w:p>
        </w:tc>
        <w:tc>
          <w:tcPr>
            <w:tcW w:w="710" w:type="dxa"/>
            <w:tcBorders>
              <w:left w:val="single" w:sz="4" w:space="0" w:color="000000"/>
              <w:bottom w:val="single" w:sz="4" w:space="0" w:color="000000"/>
              <w:right w:val="single" w:sz="4" w:space="0" w:color="000000"/>
            </w:tcBorders>
          </w:tcPr>
          <w:p>
            <w:pPr/>
          </w:p>
        </w:tc>
        <w:tc>
          <w:tcPr>
            <w:tcW w:w="706" w:type="dxa"/>
            <w:tcBorders>
              <w:left w:val="single" w:sz="4" w:space="0" w:color="000000"/>
              <w:bottom w:val="single" w:sz="4" w:space="0" w:color="000000"/>
              <w:right w:val="single" w:sz="4" w:space="0" w:color="000000"/>
            </w:tcBorders>
          </w:tcPr>
          <w:p>
            <w:pPr/>
          </w:p>
        </w:tc>
        <w:tc>
          <w:tcPr>
            <w:tcW w:w="566" w:type="dxa"/>
            <w:tcBorders>
              <w:left w:val="single" w:sz="4" w:space="0" w:color="000000"/>
              <w:bottom w:val="single" w:sz="4" w:space="0" w:color="000000"/>
              <w:right w:val="single" w:sz="4" w:space="0" w:color="000000"/>
            </w:tcBorders>
          </w:tcPr>
          <w:p>
            <w:pPr/>
          </w:p>
        </w:tc>
        <w:tc>
          <w:tcPr>
            <w:tcW w:w="564" w:type="dxa"/>
            <w:tcBorders>
              <w:left w:val="single" w:sz="4" w:space="0" w:color="000000"/>
              <w:bottom w:val="single" w:sz="4" w:space="0" w:color="000000"/>
              <w:right w:val="single" w:sz="2" w:space="0" w:color="000000"/>
            </w:tcBorders>
          </w:tcPr>
          <w:p>
            <w:pPr/>
          </w:p>
        </w:tc>
      </w:tr>
      <w:tr>
        <w:trPr>
          <w:trHeight w:val="186" w:hRule="exact"/>
        </w:trPr>
        <w:tc>
          <w:tcPr>
            <w:tcW w:w="847" w:type="dxa"/>
            <w:tcBorders>
              <w:top w:val="single" w:sz="4" w:space="0" w:color="000000"/>
              <w:left w:val="single" w:sz="2" w:space="0" w:color="000000"/>
              <w:right w:val="single" w:sz="4" w:space="0" w:color="000000"/>
            </w:tcBorders>
          </w:tcPr>
          <w:p>
            <w:pPr>
              <w:pStyle w:val="TableParagraph"/>
              <w:spacing w:line="177" w:lineRule="exact"/>
              <w:ind w:right="12"/>
              <w:rPr>
                <w:sz w:val="16"/>
              </w:rPr>
            </w:pPr>
            <w:r>
              <w:rPr>
                <w:sz w:val="16"/>
              </w:rPr>
              <w:t>« navigati</w:t>
            </w:r>
          </w:p>
        </w:tc>
        <w:tc>
          <w:tcPr>
            <w:tcW w:w="850" w:type="dxa"/>
            <w:tcBorders>
              <w:top w:val="single" w:sz="4" w:space="0" w:color="000000"/>
              <w:left w:val="single" w:sz="4" w:space="0" w:color="000000"/>
              <w:right w:val="single" w:sz="4" w:space="0" w:color="000000"/>
            </w:tcBorders>
          </w:tcPr>
          <w:p>
            <w:pPr>
              <w:pStyle w:val="TableParagraph"/>
              <w:spacing w:line="177" w:lineRule="exact"/>
              <w:ind w:right="125"/>
              <w:rPr>
                <w:sz w:val="16"/>
              </w:rPr>
            </w:pPr>
            <w:r>
              <w:rPr>
                <w:sz w:val="16"/>
              </w:rPr>
              <w:t>84</w:t>
            </w:r>
          </w:p>
        </w:tc>
        <w:tc>
          <w:tcPr>
            <w:tcW w:w="571" w:type="dxa"/>
            <w:tcBorders>
              <w:top w:val="single" w:sz="4" w:space="0" w:color="000000"/>
              <w:left w:val="single" w:sz="4" w:space="0" w:color="000000"/>
              <w:right w:val="single" w:sz="4" w:space="0" w:color="000000"/>
            </w:tcBorders>
          </w:tcPr>
          <w:p>
            <w:pPr/>
          </w:p>
        </w:tc>
        <w:tc>
          <w:tcPr>
            <w:tcW w:w="850" w:type="dxa"/>
            <w:tcBorders>
              <w:top w:val="single" w:sz="4" w:space="0" w:color="000000"/>
              <w:left w:val="single" w:sz="4" w:space="0" w:color="000000"/>
              <w:right w:val="single" w:sz="4" w:space="0" w:color="000000"/>
            </w:tcBorders>
          </w:tcPr>
          <w:p>
            <w:pPr>
              <w:pStyle w:val="TableParagraph"/>
              <w:spacing w:line="177" w:lineRule="exact"/>
              <w:ind w:left="100" w:right="125"/>
              <w:rPr>
                <w:sz w:val="16"/>
              </w:rPr>
            </w:pPr>
            <w:r>
              <w:rPr>
                <w:sz w:val="16"/>
              </w:rPr>
              <w:t>663</w:t>
            </w:r>
          </w:p>
        </w:tc>
        <w:tc>
          <w:tcPr>
            <w:tcW w:w="710" w:type="dxa"/>
            <w:tcBorders>
              <w:top w:val="single" w:sz="4" w:space="0" w:color="000000"/>
              <w:left w:val="single" w:sz="4" w:space="0" w:color="000000"/>
              <w:right w:val="single" w:sz="4" w:space="0" w:color="000000"/>
            </w:tcBorders>
          </w:tcPr>
          <w:p>
            <w:pPr/>
          </w:p>
        </w:tc>
        <w:tc>
          <w:tcPr>
            <w:tcW w:w="706" w:type="dxa"/>
            <w:tcBorders>
              <w:top w:val="single" w:sz="4" w:space="0" w:color="000000"/>
              <w:left w:val="single" w:sz="4" w:space="0" w:color="000000"/>
              <w:right w:val="single" w:sz="4" w:space="0" w:color="000000"/>
            </w:tcBorders>
          </w:tcPr>
          <w:p>
            <w:pPr>
              <w:pStyle w:val="TableParagraph"/>
              <w:spacing w:line="177" w:lineRule="exact"/>
              <w:ind w:left="100" w:right="109"/>
              <w:rPr>
                <w:sz w:val="16"/>
              </w:rPr>
            </w:pPr>
            <w:r>
              <w:rPr>
                <w:sz w:val="16"/>
              </w:rPr>
              <w:t>135</w:t>
            </w:r>
          </w:p>
        </w:tc>
        <w:tc>
          <w:tcPr>
            <w:tcW w:w="566" w:type="dxa"/>
            <w:tcBorders>
              <w:top w:val="single" w:sz="4" w:space="0" w:color="000000"/>
              <w:left w:val="single" w:sz="4" w:space="0" w:color="000000"/>
              <w:right w:val="single" w:sz="4" w:space="0" w:color="000000"/>
            </w:tcBorders>
          </w:tcPr>
          <w:p>
            <w:pPr/>
          </w:p>
        </w:tc>
        <w:tc>
          <w:tcPr>
            <w:tcW w:w="564" w:type="dxa"/>
            <w:tcBorders>
              <w:top w:val="single" w:sz="4" w:space="0" w:color="000000"/>
              <w:left w:val="single" w:sz="4" w:space="0" w:color="000000"/>
              <w:right w:val="single" w:sz="2" w:space="0" w:color="000000"/>
            </w:tcBorders>
          </w:tcPr>
          <w:p>
            <w:pPr/>
          </w:p>
        </w:tc>
      </w:tr>
      <w:tr>
        <w:trPr>
          <w:trHeight w:val="360" w:hRule="exact"/>
        </w:trPr>
        <w:tc>
          <w:tcPr>
            <w:tcW w:w="847" w:type="dxa"/>
            <w:tcBorders>
              <w:left w:val="single" w:sz="2" w:space="0" w:color="000000"/>
              <w:right w:val="single" w:sz="4" w:space="0" w:color="000000"/>
            </w:tcBorders>
          </w:tcPr>
          <w:p>
            <w:pPr>
              <w:pStyle w:val="TableParagraph"/>
              <w:spacing w:line="242" w:lineRule="auto"/>
              <w:ind w:right="12"/>
              <w:rPr>
                <w:sz w:val="16"/>
              </w:rPr>
            </w:pPr>
            <w:r>
              <w:rPr>
                <w:sz w:val="16"/>
              </w:rPr>
              <w:t>on </w:t>
            </w:r>
            <w:r>
              <w:rPr>
                <w:w w:val="95"/>
                <w:sz w:val="16"/>
              </w:rPr>
              <w:t>fonctionn</w:t>
            </w:r>
          </w:p>
        </w:tc>
        <w:tc>
          <w:tcPr>
            <w:tcW w:w="850" w:type="dxa"/>
            <w:tcBorders>
              <w:left w:val="single" w:sz="4" w:space="0" w:color="000000"/>
              <w:right w:val="single" w:sz="4" w:space="0" w:color="000000"/>
            </w:tcBorders>
          </w:tcPr>
          <w:p>
            <w:pPr>
              <w:pStyle w:val="TableParagraph"/>
              <w:spacing w:line="173" w:lineRule="exact"/>
              <w:ind w:right="125"/>
              <w:rPr>
                <w:sz w:val="16"/>
              </w:rPr>
            </w:pPr>
            <w:r>
              <w:rPr>
                <w:sz w:val="16"/>
              </w:rPr>
              <w:t>(18%)</w:t>
            </w:r>
          </w:p>
        </w:tc>
        <w:tc>
          <w:tcPr>
            <w:tcW w:w="571" w:type="dxa"/>
            <w:tcBorders>
              <w:left w:val="single" w:sz="4" w:space="0" w:color="000000"/>
              <w:right w:val="single" w:sz="4" w:space="0" w:color="000000"/>
            </w:tcBorders>
          </w:tcPr>
          <w:p>
            <w:pPr>
              <w:pStyle w:val="TableParagraph"/>
              <w:spacing w:before="84"/>
              <w:rPr>
                <w:sz w:val="16"/>
              </w:rPr>
            </w:pPr>
            <w:r>
              <w:rPr>
                <w:sz w:val="16"/>
              </w:rPr>
              <w:t>9,5%</w:t>
            </w:r>
          </w:p>
        </w:tc>
        <w:tc>
          <w:tcPr>
            <w:tcW w:w="850" w:type="dxa"/>
            <w:tcBorders>
              <w:left w:val="single" w:sz="4" w:space="0" w:color="000000"/>
              <w:right w:val="single" w:sz="4" w:space="0" w:color="000000"/>
            </w:tcBorders>
          </w:tcPr>
          <w:p>
            <w:pPr>
              <w:pStyle w:val="TableParagraph"/>
              <w:spacing w:line="173" w:lineRule="exact"/>
              <w:ind w:left="100" w:right="125"/>
              <w:rPr>
                <w:sz w:val="16"/>
              </w:rPr>
            </w:pPr>
            <w:r>
              <w:rPr>
                <w:sz w:val="16"/>
              </w:rPr>
              <w:t>(32%)</w:t>
            </w:r>
          </w:p>
        </w:tc>
        <w:tc>
          <w:tcPr>
            <w:tcW w:w="710" w:type="dxa"/>
            <w:tcBorders>
              <w:left w:val="single" w:sz="4" w:space="0" w:color="000000"/>
              <w:right w:val="single" w:sz="4" w:space="0" w:color="000000"/>
            </w:tcBorders>
          </w:tcPr>
          <w:p>
            <w:pPr>
              <w:pStyle w:val="TableParagraph"/>
              <w:spacing w:before="84"/>
              <w:ind w:left="100"/>
              <w:rPr>
                <w:sz w:val="16"/>
              </w:rPr>
            </w:pPr>
            <w:r>
              <w:rPr>
                <w:sz w:val="16"/>
              </w:rPr>
              <w:t>75%</w:t>
            </w:r>
          </w:p>
        </w:tc>
        <w:tc>
          <w:tcPr>
            <w:tcW w:w="706" w:type="dxa"/>
            <w:tcBorders>
              <w:left w:val="single" w:sz="4" w:space="0" w:color="000000"/>
              <w:right w:val="single" w:sz="4" w:space="0" w:color="000000"/>
            </w:tcBorders>
          </w:tcPr>
          <w:p>
            <w:pPr>
              <w:pStyle w:val="TableParagraph"/>
              <w:spacing w:line="173" w:lineRule="exact"/>
              <w:ind w:left="100" w:right="109"/>
              <w:rPr>
                <w:sz w:val="16"/>
              </w:rPr>
            </w:pPr>
            <w:r>
              <w:rPr>
                <w:sz w:val="16"/>
              </w:rPr>
              <w:t>(16%)</w:t>
            </w:r>
          </w:p>
        </w:tc>
        <w:tc>
          <w:tcPr>
            <w:tcW w:w="566" w:type="dxa"/>
            <w:tcBorders>
              <w:left w:val="single" w:sz="4" w:space="0" w:color="000000"/>
              <w:right w:val="single" w:sz="4" w:space="0" w:color="000000"/>
            </w:tcBorders>
          </w:tcPr>
          <w:p>
            <w:pPr>
              <w:pStyle w:val="TableParagraph"/>
              <w:spacing w:before="84"/>
              <w:ind w:left="0" w:right="168"/>
              <w:jc w:val="right"/>
              <w:rPr>
                <w:sz w:val="16"/>
              </w:rPr>
            </w:pPr>
            <w:r>
              <w:rPr>
                <w:w w:val="95"/>
                <w:sz w:val="16"/>
              </w:rPr>
              <w:t>15%</w:t>
            </w:r>
          </w:p>
        </w:tc>
        <w:tc>
          <w:tcPr>
            <w:tcW w:w="564" w:type="dxa"/>
            <w:tcBorders>
              <w:left w:val="single" w:sz="4" w:space="0" w:color="000000"/>
              <w:right w:val="single" w:sz="2" w:space="0" w:color="000000"/>
            </w:tcBorders>
          </w:tcPr>
          <w:p>
            <w:pPr>
              <w:pStyle w:val="TableParagraph"/>
              <w:spacing w:before="84"/>
              <w:ind w:right="115"/>
              <w:rPr>
                <w:sz w:val="16"/>
              </w:rPr>
            </w:pPr>
            <w:r>
              <w:rPr>
                <w:sz w:val="16"/>
              </w:rPr>
              <w:t>882</w:t>
            </w:r>
          </w:p>
        </w:tc>
      </w:tr>
      <w:tr>
        <w:trPr>
          <w:trHeight w:val="184" w:hRule="exact"/>
        </w:trPr>
        <w:tc>
          <w:tcPr>
            <w:tcW w:w="847" w:type="dxa"/>
            <w:tcBorders>
              <w:left w:val="single" w:sz="2" w:space="0" w:color="000000"/>
              <w:bottom w:val="single" w:sz="4" w:space="0" w:color="000000"/>
              <w:right w:val="single" w:sz="4" w:space="0" w:color="000000"/>
            </w:tcBorders>
          </w:tcPr>
          <w:p>
            <w:pPr>
              <w:pStyle w:val="TableParagraph"/>
              <w:spacing w:line="173" w:lineRule="exact"/>
              <w:ind w:right="125"/>
              <w:rPr>
                <w:sz w:val="16"/>
              </w:rPr>
            </w:pPr>
            <w:r>
              <w:rPr>
                <w:sz w:val="16"/>
              </w:rPr>
              <w:t>elle »</w:t>
            </w:r>
          </w:p>
        </w:tc>
        <w:tc>
          <w:tcPr>
            <w:tcW w:w="850" w:type="dxa"/>
            <w:tcBorders>
              <w:left w:val="single" w:sz="4" w:space="0" w:color="000000"/>
              <w:bottom w:val="single" w:sz="4" w:space="0" w:color="000000"/>
              <w:right w:val="single" w:sz="4" w:space="0" w:color="000000"/>
            </w:tcBorders>
          </w:tcPr>
          <w:p>
            <w:pPr/>
          </w:p>
        </w:tc>
        <w:tc>
          <w:tcPr>
            <w:tcW w:w="571" w:type="dxa"/>
            <w:tcBorders>
              <w:left w:val="single" w:sz="4" w:space="0" w:color="000000"/>
              <w:bottom w:val="single" w:sz="4" w:space="0" w:color="000000"/>
              <w:right w:val="single" w:sz="4" w:space="0" w:color="000000"/>
            </w:tcBorders>
          </w:tcPr>
          <w:p>
            <w:pPr/>
          </w:p>
        </w:tc>
        <w:tc>
          <w:tcPr>
            <w:tcW w:w="850" w:type="dxa"/>
            <w:tcBorders>
              <w:left w:val="single" w:sz="4" w:space="0" w:color="000000"/>
              <w:bottom w:val="single" w:sz="4" w:space="0" w:color="000000"/>
              <w:right w:val="single" w:sz="4" w:space="0" w:color="000000"/>
            </w:tcBorders>
          </w:tcPr>
          <w:p>
            <w:pPr/>
          </w:p>
        </w:tc>
        <w:tc>
          <w:tcPr>
            <w:tcW w:w="710" w:type="dxa"/>
            <w:tcBorders>
              <w:left w:val="single" w:sz="4" w:space="0" w:color="000000"/>
              <w:bottom w:val="single" w:sz="4" w:space="0" w:color="000000"/>
              <w:right w:val="single" w:sz="4" w:space="0" w:color="000000"/>
            </w:tcBorders>
          </w:tcPr>
          <w:p>
            <w:pPr/>
          </w:p>
        </w:tc>
        <w:tc>
          <w:tcPr>
            <w:tcW w:w="706" w:type="dxa"/>
            <w:tcBorders>
              <w:left w:val="single" w:sz="4" w:space="0" w:color="000000"/>
              <w:bottom w:val="single" w:sz="4" w:space="0" w:color="000000"/>
              <w:right w:val="single" w:sz="4" w:space="0" w:color="000000"/>
            </w:tcBorders>
          </w:tcPr>
          <w:p>
            <w:pPr/>
          </w:p>
        </w:tc>
        <w:tc>
          <w:tcPr>
            <w:tcW w:w="566" w:type="dxa"/>
            <w:tcBorders>
              <w:left w:val="single" w:sz="4" w:space="0" w:color="000000"/>
              <w:bottom w:val="single" w:sz="4" w:space="0" w:color="000000"/>
              <w:right w:val="single" w:sz="4" w:space="0" w:color="000000"/>
            </w:tcBorders>
          </w:tcPr>
          <w:p>
            <w:pPr/>
          </w:p>
        </w:tc>
        <w:tc>
          <w:tcPr>
            <w:tcW w:w="564" w:type="dxa"/>
            <w:tcBorders>
              <w:left w:val="single" w:sz="4" w:space="0" w:color="000000"/>
              <w:bottom w:val="single" w:sz="4" w:space="0" w:color="000000"/>
              <w:right w:val="single" w:sz="2" w:space="0" w:color="000000"/>
            </w:tcBorders>
          </w:tcPr>
          <w:p>
            <w:pPr/>
          </w:p>
        </w:tc>
      </w:tr>
      <w:tr>
        <w:trPr>
          <w:trHeight w:val="186" w:hRule="exact"/>
        </w:trPr>
        <w:tc>
          <w:tcPr>
            <w:tcW w:w="847" w:type="dxa"/>
            <w:tcBorders>
              <w:top w:val="single" w:sz="4" w:space="0" w:color="000000"/>
              <w:left w:val="single" w:sz="2" w:space="0" w:color="000000"/>
              <w:right w:val="single" w:sz="4" w:space="0" w:color="000000"/>
            </w:tcBorders>
          </w:tcPr>
          <w:p>
            <w:pPr>
              <w:pStyle w:val="TableParagraph"/>
              <w:spacing w:line="177" w:lineRule="exact"/>
              <w:ind w:right="12"/>
              <w:rPr>
                <w:sz w:val="16"/>
              </w:rPr>
            </w:pPr>
            <w:r>
              <w:rPr>
                <w:sz w:val="16"/>
              </w:rPr>
              <w:t>« navigati</w:t>
            </w:r>
          </w:p>
        </w:tc>
        <w:tc>
          <w:tcPr>
            <w:tcW w:w="850" w:type="dxa"/>
            <w:tcBorders>
              <w:top w:val="single" w:sz="4" w:space="0" w:color="000000"/>
              <w:left w:val="single" w:sz="4" w:space="0" w:color="000000"/>
              <w:right w:val="single" w:sz="4" w:space="0" w:color="000000"/>
            </w:tcBorders>
          </w:tcPr>
          <w:p>
            <w:pPr>
              <w:pStyle w:val="TableParagraph"/>
              <w:spacing w:line="177" w:lineRule="exact"/>
              <w:rPr>
                <w:sz w:val="16"/>
              </w:rPr>
            </w:pPr>
            <w:r>
              <w:rPr>
                <w:w w:val="98"/>
                <w:sz w:val="16"/>
              </w:rPr>
              <w:t>5</w:t>
            </w:r>
          </w:p>
        </w:tc>
        <w:tc>
          <w:tcPr>
            <w:tcW w:w="571" w:type="dxa"/>
            <w:tcBorders>
              <w:top w:val="single" w:sz="4" w:space="0" w:color="000000"/>
              <w:left w:val="single" w:sz="4" w:space="0" w:color="000000"/>
              <w:right w:val="single" w:sz="4" w:space="0" w:color="000000"/>
            </w:tcBorders>
          </w:tcPr>
          <w:p>
            <w:pPr/>
          </w:p>
        </w:tc>
        <w:tc>
          <w:tcPr>
            <w:tcW w:w="850" w:type="dxa"/>
            <w:tcBorders>
              <w:top w:val="single" w:sz="4" w:space="0" w:color="000000"/>
              <w:left w:val="single" w:sz="4" w:space="0" w:color="000000"/>
              <w:right w:val="single" w:sz="4" w:space="0" w:color="000000"/>
            </w:tcBorders>
          </w:tcPr>
          <w:p>
            <w:pPr>
              <w:pStyle w:val="TableParagraph"/>
              <w:spacing w:line="177" w:lineRule="exact"/>
              <w:ind w:left="100" w:right="125"/>
              <w:rPr>
                <w:sz w:val="16"/>
              </w:rPr>
            </w:pPr>
            <w:r>
              <w:rPr>
                <w:sz w:val="16"/>
              </w:rPr>
              <w:t>59</w:t>
            </w:r>
          </w:p>
        </w:tc>
        <w:tc>
          <w:tcPr>
            <w:tcW w:w="710" w:type="dxa"/>
            <w:tcBorders>
              <w:top w:val="single" w:sz="4" w:space="0" w:color="000000"/>
              <w:left w:val="single" w:sz="4" w:space="0" w:color="000000"/>
              <w:right w:val="single" w:sz="4" w:space="0" w:color="000000"/>
            </w:tcBorders>
          </w:tcPr>
          <w:p>
            <w:pPr/>
          </w:p>
        </w:tc>
        <w:tc>
          <w:tcPr>
            <w:tcW w:w="706" w:type="dxa"/>
            <w:tcBorders>
              <w:top w:val="single" w:sz="4" w:space="0" w:color="000000"/>
              <w:left w:val="single" w:sz="4" w:space="0" w:color="000000"/>
              <w:right w:val="single" w:sz="4" w:space="0" w:color="000000"/>
            </w:tcBorders>
          </w:tcPr>
          <w:p>
            <w:pPr>
              <w:pStyle w:val="TableParagraph"/>
              <w:spacing w:line="177" w:lineRule="exact"/>
              <w:ind w:left="100" w:right="109"/>
              <w:rPr>
                <w:sz w:val="16"/>
              </w:rPr>
            </w:pPr>
            <w:r>
              <w:rPr>
                <w:sz w:val="16"/>
              </w:rPr>
              <w:t>35</w:t>
            </w:r>
          </w:p>
        </w:tc>
        <w:tc>
          <w:tcPr>
            <w:tcW w:w="566" w:type="dxa"/>
            <w:tcBorders>
              <w:top w:val="single" w:sz="4" w:space="0" w:color="000000"/>
              <w:left w:val="single" w:sz="4" w:space="0" w:color="000000"/>
              <w:right w:val="single" w:sz="4" w:space="0" w:color="000000"/>
            </w:tcBorders>
          </w:tcPr>
          <w:p>
            <w:pPr/>
          </w:p>
        </w:tc>
        <w:tc>
          <w:tcPr>
            <w:tcW w:w="564" w:type="dxa"/>
            <w:tcBorders>
              <w:top w:val="single" w:sz="4" w:space="0" w:color="000000"/>
              <w:left w:val="single" w:sz="4" w:space="0" w:color="000000"/>
              <w:right w:val="single" w:sz="2" w:space="0" w:color="000000"/>
            </w:tcBorders>
          </w:tcPr>
          <w:p>
            <w:pPr/>
          </w:p>
        </w:tc>
      </w:tr>
      <w:tr>
        <w:trPr>
          <w:trHeight w:val="544" w:hRule="exact"/>
        </w:trPr>
        <w:tc>
          <w:tcPr>
            <w:tcW w:w="847" w:type="dxa"/>
            <w:tcBorders>
              <w:left w:val="single" w:sz="2" w:space="0" w:color="000000"/>
              <w:bottom w:val="single" w:sz="4" w:space="0" w:color="000000"/>
              <w:right w:val="single" w:sz="4" w:space="0" w:color="000000"/>
            </w:tcBorders>
          </w:tcPr>
          <w:p>
            <w:pPr>
              <w:pStyle w:val="TableParagraph"/>
              <w:tabs>
                <w:tab w:pos="540" w:val="left" w:leader="none"/>
              </w:tabs>
              <w:spacing w:line="242" w:lineRule="auto"/>
              <w:ind w:right="97"/>
              <w:rPr>
                <w:sz w:val="16"/>
              </w:rPr>
            </w:pPr>
            <w:r>
              <w:rPr>
                <w:sz w:val="16"/>
              </w:rPr>
              <w:t>on</w:t>
              <w:tab/>
              <w:t>par profil</w:t>
            </w:r>
            <w:r>
              <w:rPr>
                <w:spacing w:val="-4"/>
                <w:sz w:val="16"/>
              </w:rPr>
              <w:t> </w:t>
            </w:r>
            <w:r>
              <w:rPr>
                <w:sz w:val="16"/>
              </w:rPr>
              <w:t>»</w:t>
            </w:r>
          </w:p>
        </w:tc>
        <w:tc>
          <w:tcPr>
            <w:tcW w:w="850" w:type="dxa"/>
            <w:tcBorders>
              <w:left w:val="single" w:sz="4" w:space="0" w:color="000000"/>
              <w:bottom w:val="single" w:sz="4" w:space="0" w:color="000000"/>
              <w:right w:val="single" w:sz="4" w:space="0" w:color="000000"/>
            </w:tcBorders>
          </w:tcPr>
          <w:p>
            <w:pPr>
              <w:pStyle w:val="TableParagraph"/>
              <w:spacing w:line="173" w:lineRule="exact"/>
              <w:ind w:right="125"/>
              <w:rPr>
                <w:sz w:val="16"/>
              </w:rPr>
            </w:pPr>
            <w:r>
              <w:rPr>
                <w:sz w:val="16"/>
              </w:rPr>
              <w:t>(1%)</w:t>
            </w:r>
          </w:p>
        </w:tc>
        <w:tc>
          <w:tcPr>
            <w:tcW w:w="571" w:type="dxa"/>
            <w:tcBorders>
              <w:left w:val="single" w:sz="4" w:space="0" w:color="000000"/>
              <w:bottom w:val="single" w:sz="4" w:space="0" w:color="000000"/>
              <w:right w:val="single" w:sz="4" w:space="0" w:color="000000"/>
            </w:tcBorders>
          </w:tcPr>
          <w:p>
            <w:pPr>
              <w:pStyle w:val="TableParagraph"/>
              <w:spacing w:before="84"/>
              <w:ind w:right="120"/>
              <w:rPr>
                <w:sz w:val="16"/>
              </w:rPr>
            </w:pPr>
            <w:r>
              <w:rPr>
                <w:sz w:val="16"/>
              </w:rPr>
              <w:t>5%</w:t>
            </w:r>
          </w:p>
        </w:tc>
        <w:tc>
          <w:tcPr>
            <w:tcW w:w="850" w:type="dxa"/>
            <w:tcBorders>
              <w:left w:val="single" w:sz="4" w:space="0" w:color="000000"/>
              <w:bottom w:val="single" w:sz="4" w:space="0" w:color="000000"/>
              <w:right w:val="single" w:sz="4" w:space="0" w:color="000000"/>
            </w:tcBorders>
          </w:tcPr>
          <w:p>
            <w:pPr>
              <w:pStyle w:val="TableParagraph"/>
              <w:spacing w:line="173" w:lineRule="exact"/>
              <w:ind w:left="100" w:right="125"/>
              <w:rPr>
                <w:sz w:val="16"/>
              </w:rPr>
            </w:pPr>
            <w:r>
              <w:rPr>
                <w:sz w:val="16"/>
              </w:rPr>
              <w:t>(3%)</w:t>
            </w:r>
          </w:p>
        </w:tc>
        <w:tc>
          <w:tcPr>
            <w:tcW w:w="710" w:type="dxa"/>
            <w:tcBorders>
              <w:left w:val="single" w:sz="4" w:space="0" w:color="000000"/>
              <w:bottom w:val="single" w:sz="4" w:space="0" w:color="000000"/>
              <w:right w:val="single" w:sz="4" w:space="0" w:color="000000"/>
            </w:tcBorders>
          </w:tcPr>
          <w:p>
            <w:pPr>
              <w:pStyle w:val="TableParagraph"/>
              <w:spacing w:before="84"/>
              <w:ind w:left="100"/>
              <w:rPr>
                <w:sz w:val="16"/>
              </w:rPr>
            </w:pPr>
            <w:r>
              <w:rPr>
                <w:sz w:val="16"/>
              </w:rPr>
              <w:t>60%</w:t>
            </w:r>
          </w:p>
        </w:tc>
        <w:tc>
          <w:tcPr>
            <w:tcW w:w="706" w:type="dxa"/>
            <w:tcBorders>
              <w:left w:val="single" w:sz="4" w:space="0" w:color="000000"/>
              <w:bottom w:val="single" w:sz="4" w:space="0" w:color="000000"/>
              <w:right w:val="single" w:sz="4" w:space="0" w:color="000000"/>
            </w:tcBorders>
          </w:tcPr>
          <w:p>
            <w:pPr>
              <w:pStyle w:val="TableParagraph"/>
              <w:spacing w:line="173" w:lineRule="exact"/>
              <w:ind w:left="100" w:right="109"/>
              <w:rPr>
                <w:sz w:val="16"/>
              </w:rPr>
            </w:pPr>
            <w:r>
              <w:rPr>
                <w:sz w:val="16"/>
              </w:rPr>
              <w:t>(4%)</w:t>
            </w:r>
          </w:p>
        </w:tc>
        <w:tc>
          <w:tcPr>
            <w:tcW w:w="566" w:type="dxa"/>
            <w:tcBorders>
              <w:left w:val="single" w:sz="4" w:space="0" w:color="000000"/>
              <w:bottom w:val="single" w:sz="4" w:space="0" w:color="000000"/>
              <w:right w:val="single" w:sz="4" w:space="0" w:color="000000"/>
            </w:tcBorders>
          </w:tcPr>
          <w:p>
            <w:pPr>
              <w:pStyle w:val="TableParagraph"/>
              <w:spacing w:before="84"/>
              <w:ind w:left="0" w:right="168"/>
              <w:jc w:val="right"/>
              <w:rPr>
                <w:sz w:val="16"/>
              </w:rPr>
            </w:pPr>
            <w:r>
              <w:rPr>
                <w:w w:val="95"/>
                <w:sz w:val="16"/>
              </w:rPr>
              <w:t>35%</w:t>
            </w:r>
          </w:p>
        </w:tc>
        <w:tc>
          <w:tcPr>
            <w:tcW w:w="564" w:type="dxa"/>
            <w:tcBorders>
              <w:left w:val="single" w:sz="4" w:space="0" w:color="000000"/>
              <w:bottom w:val="single" w:sz="4" w:space="0" w:color="000000"/>
              <w:right w:val="single" w:sz="2" w:space="0" w:color="000000"/>
            </w:tcBorders>
          </w:tcPr>
          <w:p>
            <w:pPr>
              <w:pStyle w:val="TableParagraph"/>
              <w:spacing w:before="84"/>
              <w:ind w:right="115"/>
              <w:rPr>
                <w:sz w:val="16"/>
              </w:rPr>
            </w:pPr>
            <w:r>
              <w:rPr>
                <w:sz w:val="16"/>
              </w:rPr>
              <w:t>99</w:t>
            </w:r>
          </w:p>
        </w:tc>
      </w:tr>
      <w:tr>
        <w:trPr>
          <w:trHeight w:val="370" w:hRule="exact"/>
        </w:trPr>
        <w:tc>
          <w:tcPr>
            <w:tcW w:w="847" w:type="dxa"/>
            <w:tcBorders>
              <w:top w:val="single" w:sz="4" w:space="0" w:color="000000"/>
              <w:left w:val="single" w:sz="2" w:space="0" w:color="000000"/>
              <w:bottom w:val="single" w:sz="4" w:space="0" w:color="000000"/>
              <w:right w:val="single" w:sz="4" w:space="0" w:color="000000"/>
            </w:tcBorders>
          </w:tcPr>
          <w:p>
            <w:pPr>
              <w:pStyle w:val="TableParagraph"/>
              <w:spacing w:before="5"/>
              <w:ind w:left="0"/>
              <w:rPr>
                <w:sz w:val="15"/>
              </w:rPr>
            </w:pPr>
          </w:p>
          <w:p>
            <w:pPr>
              <w:pStyle w:val="TableParagraph"/>
              <w:ind w:right="125"/>
              <w:rPr>
                <w:sz w:val="16"/>
              </w:rPr>
            </w:pPr>
            <w:r>
              <w:rPr>
                <w:sz w:val="16"/>
              </w:rPr>
              <w:t>Total</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right="125"/>
              <w:rPr>
                <w:sz w:val="16"/>
              </w:rPr>
            </w:pPr>
            <w:r>
              <w:rPr>
                <w:sz w:val="16"/>
              </w:rPr>
              <w:t>455</w:t>
            </w:r>
          </w:p>
        </w:tc>
        <w:tc>
          <w:tcPr>
            <w:tcW w:w="57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100" w:right="125"/>
              <w:rPr>
                <w:sz w:val="16"/>
              </w:rPr>
            </w:pPr>
            <w:r>
              <w:rPr>
                <w:sz w:val="16"/>
              </w:rPr>
              <w:t>2104</w:t>
            </w:r>
          </w:p>
        </w:tc>
        <w:tc>
          <w:tcPr>
            <w:tcW w:w="710" w:type="dxa"/>
            <w:tcBorders>
              <w:top w:val="single" w:sz="4" w:space="0" w:color="000000"/>
              <w:left w:val="single" w:sz="4" w:space="0" w:color="000000"/>
              <w:bottom w:val="single" w:sz="4" w:space="0" w:color="000000"/>
              <w:right w:val="single" w:sz="4" w:space="0" w:color="000000"/>
            </w:tcBorders>
          </w:tcPr>
          <w:p>
            <w:pPr/>
          </w:p>
        </w:tc>
        <w:tc>
          <w:tcPr>
            <w:tcW w:w="706"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left="100" w:right="109"/>
              <w:rPr>
                <w:sz w:val="16"/>
              </w:rPr>
            </w:pPr>
            <w:r>
              <w:rPr>
                <w:sz w:val="16"/>
              </w:rPr>
              <w:t>854</w:t>
            </w:r>
          </w:p>
        </w:tc>
        <w:tc>
          <w:tcPr>
            <w:tcW w:w="566" w:type="dxa"/>
            <w:tcBorders>
              <w:top w:val="single" w:sz="4" w:space="0" w:color="000000"/>
              <w:left w:val="single" w:sz="4" w:space="0" w:color="000000"/>
              <w:bottom w:val="single" w:sz="4" w:space="0" w:color="000000"/>
              <w:right w:val="single" w:sz="4" w:space="0" w:color="000000"/>
            </w:tcBorders>
          </w:tcPr>
          <w:p>
            <w:pPr/>
          </w:p>
        </w:tc>
        <w:tc>
          <w:tcPr>
            <w:tcW w:w="564" w:type="dxa"/>
            <w:tcBorders>
              <w:top w:val="single" w:sz="4" w:space="0" w:color="000000"/>
              <w:left w:val="single" w:sz="4" w:space="0" w:color="000000"/>
              <w:bottom w:val="single" w:sz="4" w:space="0" w:color="000000"/>
              <w:right w:val="single" w:sz="2" w:space="0" w:color="000000"/>
            </w:tcBorders>
          </w:tcPr>
          <w:p>
            <w:pPr>
              <w:pStyle w:val="TableParagraph"/>
              <w:spacing w:line="177" w:lineRule="exact"/>
              <w:rPr>
                <w:sz w:val="16"/>
              </w:rPr>
            </w:pPr>
            <w:r>
              <w:rPr>
                <w:sz w:val="16"/>
              </w:rPr>
              <w:t>3413</w:t>
            </w:r>
          </w:p>
        </w:tc>
      </w:tr>
    </w:tbl>
    <w:p>
      <w:pPr>
        <w:pStyle w:val="BodyText"/>
        <w:spacing w:before="3"/>
        <w:rPr>
          <w:sz w:val="12"/>
        </w:rPr>
      </w:pPr>
    </w:p>
    <w:p>
      <w:pPr>
        <w:spacing w:before="84"/>
        <w:ind w:left="440" w:right="0" w:firstLine="0"/>
        <w:jc w:val="both"/>
        <w:rPr>
          <w:i/>
          <w:sz w:val="16"/>
        </w:rPr>
      </w:pPr>
      <w:r>
        <w:rPr>
          <w:i/>
          <w:sz w:val="16"/>
        </w:rPr>
        <w:t>Tableau 6 : Poids respectif des 3 catégories de la taxonomie en fonction du type de corpus</w:t>
      </w:r>
    </w:p>
    <w:p>
      <w:pPr>
        <w:pStyle w:val="BodyText"/>
        <w:spacing w:before="5"/>
        <w:rPr>
          <w:i/>
          <w:sz w:val="20"/>
        </w:rPr>
      </w:pPr>
    </w:p>
    <w:p>
      <w:pPr>
        <w:pStyle w:val="BodyText"/>
        <w:spacing w:line="252" w:lineRule="auto" w:before="1"/>
        <w:ind w:left="440" w:right="442"/>
        <w:jc w:val="both"/>
      </w:pPr>
      <w:r>
        <w:rPr>
          <w:w w:val="105"/>
        </w:rPr>
        <w:t>Par ailleurs, 5 classes (sur les 24 classes de la taxonomie) représentent à elles seules à peu près 60 % des ULHt (Tableau 7). On a ainsi une concentration importante autour de 5 pôles d’intérêt qui concernent à la fois les missions phare de l’organisation concernée (Recherche, Formation, Ressources documentaires) et une aide à la navigation sur le média web. Néanmoins, certaines différences apparaissent en  fonction du type de corpus considéré. Pour les deux corpus exclusifs, les deux classes les mieux représentées sont la recherche et la formation avec une priorité à la recherche dans le corpus exclusif 2009 (23%) et une priorité  à</w:t>
      </w:r>
      <w:r>
        <w:rPr>
          <w:spacing w:val="23"/>
          <w:w w:val="105"/>
        </w:rPr>
        <w:t> </w:t>
      </w:r>
      <w:r>
        <w:rPr>
          <w:w w:val="105"/>
        </w:rPr>
        <w:t>la</w:t>
      </w:r>
      <w:r>
        <w:rPr>
          <w:spacing w:val="23"/>
          <w:w w:val="105"/>
        </w:rPr>
        <w:t> </w:t>
      </w:r>
      <w:r>
        <w:rPr>
          <w:w w:val="105"/>
        </w:rPr>
        <w:t>formation</w:t>
      </w:r>
      <w:r>
        <w:rPr>
          <w:spacing w:val="24"/>
          <w:w w:val="105"/>
        </w:rPr>
        <w:t> </w:t>
      </w:r>
      <w:r>
        <w:rPr>
          <w:w w:val="105"/>
        </w:rPr>
        <w:t>pour</w:t>
      </w:r>
      <w:r>
        <w:rPr>
          <w:spacing w:val="23"/>
          <w:w w:val="105"/>
        </w:rPr>
        <w:t> </w:t>
      </w:r>
      <w:r>
        <w:rPr>
          <w:w w:val="105"/>
        </w:rPr>
        <w:t>le</w:t>
      </w:r>
      <w:r>
        <w:rPr>
          <w:spacing w:val="23"/>
          <w:w w:val="105"/>
        </w:rPr>
        <w:t> </w:t>
      </w:r>
      <w:r>
        <w:rPr>
          <w:w w:val="105"/>
        </w:rPr>
        <w:t>corpus</w:t>
      </w:r>
      <w:r>
        <w:rPr>
          <w:spacing w:val="23"/>
          <w:w w:val="105"/>
        </w:rPr>
        <w:t> </w:t>
      </w:r>
      <w:r>
        <w:rPr>
          <w:w w:val="105"/>
        </w:rPr>
        <w:t>exclusif</w:t>
      </w:r>
      <w:r>
        <w:rPr>
          <w:spacing w:val="23"/>
          <w:w w:val="105"/>
        </w:rPr>
        <w:t> </w:t>
      </w:r>
      <w:r>
        <w:rPr>
          <w:w w:val="105"/>
        </w:rPr>
        <w:t>2011</w:t>
      </w:r>
      <w:r>
        <w:rPr>
          <w:spacing w:val="24"/>
          <w:w w:val="105"/>
        </w:rPr>
        <w:t> </w:t>
      </w:r>
      <w:r>
        <w:rPr>
          <w:w w:val="105"/>
        </w:rPr>
        <w:t>(20%).</w:t>
      </w:r>
      <w:r>
        <w:rPr>
          <w:spacing w:val="23"/>
          <w:w w:val="105"/>
        </w:rPr>
        <w:t> </w:t>
      </w:r>
      <w:r>
        <w:rPr>
          <w:w w:val="105"/>
        </w:rPr>
        <w:t>Alors</w:t>
      </w:r>
      <w:r>
        <w:rPr>
          <w:spacing w:val="23"/>
          <w:w w:val="105"/>
        </w:rPr>
        <w:t> </w:t>
      </w:r>
      <w:r>
        <w:rPr>
          <w:w w:val="105"/>
        </w:rPr>
        <w:t>que</w:t>
      </w:r>
      <w:r>
        <w:rPr>
          <w:spacing w:val="23"/>
          <w:w w:val="105"/>
        </w:rPr>
        <w:t> </w:t>
      </w:r>
      <w:r>
        <w:rPr>
          <w:w w:val="105"/>
        </w:rPr>
        <w:t>les</w:t>
      </w:r>
      <w:r>
        <w:rPr>
          <w:spacing w:val="23"/>
          <w:w w:val="105"/>
        </w:rPr>
        <w:t> </w:t>
      </w:r>
      <w:r>
        <w:rPr>
          <w:w w:val="105"/>
        </w:rPr>
        <w:t>deux</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classes les mieux représentées au sein du corpus commun sont respectivement : accueil/présentation (13,5%) et accès web (13%), la recherche n’apparaissant qu’en 3ème position (12%) et la formation en cinquième position (8%).</w:t>
      </w:r>
    </w:p>
    <w:p>
      <w:pPr>
        <w:pStyle w:val="BodyText"/>
        <w:spacing w:before="6"/>
      </w:pPr>
    </w:p>
    <w:tbl>
      <w:tblPr>
        <w:tblW w:w="0" w:type="auto"/>
        <w:jc w:val="left"/>
        <w:tblInd w:w="44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226"/>
        <w:gridCol w:w="1637"/>
        <w:gridCol w:w="1651"/>
        <w:gridCol w:w="1150"/>
      </w:tblGrid>
      <w:tr>
        <w:trPr>
          <w:trHeight w:val="187" w:hRule="exact"/>
        </w:trPr>
        <w:tc>
          <w:tcPr>
            <w:tcW w:w="1226" w:type="dxa"/>
            <w:tcBorders>
              <w:bottom w:val="single" w:sz="4" w:space="0" w:color="000000"/>
              <w:right w:val="single" w:sz="4" w:space="0" w:color="000000"/>
            </w:tcBorders>
          </w:tcPr>
          <w:p>
            <w:pPr/>
          </w:p>
        </w:tc>
        <w:tc>
          <w:tcPr>
            <w:tcW w:w="4438" w:type="dxa"/>
            <w:gridSpan w:val="3"/>
            <w:tcBorders>
              <w:top w:val="single" w:sz="4" w:space="0" w:color="000000"/>
              <w:left w:val="single" w:sz="4" w:space="0" w:color="000000"/>
              <w:bottom w:val="single" w:sz="4" w:space="0" w:color="000000"/>
              <w:right w:val="single" w:sz="2" w:space="0" w:color="000000"/>
            </w:tcBorders>
          </w:tcPr>
          <w:p>
            <w:pPr>
              <w:pStyle w:val="TableParagraph"/>
              <w:spacing w:line="177" w:lineRule="exact"/>
              <w:rPr>
                <w:sz w:val="16"/>
              </w:rPr>
            </w:pPr>
            <w:r>
              <w:rPr>
                <w:sz w:val="16"/>
              </w:rPr>
              <w:t>% d’ULH classées / aux ULHt</w:t>
            </w:r>
          </w:p>
        </w:tc>
      </w:tr>
      <w:tr>
        <w:trPr>
          <w:trHeight w:val="552" w:hRule="exact"/>
        </w:trPr>
        <w:tc>
          <w:tcPr>
            <w:tcW w:w="1226" w:type="dxa"/>
            <w:tcBorders>
              <w:top w:val="single" w:sz="4" w:space="0" w:color="000000"/>
              <w:left w:val="single" w:sz="2" w:space="0" w:color="000000"/>
              <w:bottom w:val="single" w:sz="4" w:space="0" w:color="000000"/>
              <w:right w:val="single" w:sz="4" w:space="0" w:color="000000"/>
            </w:tcBorders>
          </w:tcPr>
          <w:p>
            <w:pPr>
              <w:pStyle w:val="TableParagraph"/>
              <w:ind w:right="151"/>
              <w:rPr>
                <w:sz w:val="16"/>
              </w:rPr>
            </w:pPr>
            <w:r>
              <w:rPr>
                <w:sz w:val="16"/>
              </w:rPr>
              <w:t>Ordre </w:t>
            </w:r>
            <w:r>
              <w:rPr>
                <w:w w:val="95"/>
                <w:sz w:val="16"/>
              </w:rPr>
              <w:t>d’importance </w:t>
            </w:r>
            <w:r>
              <w:rPr>
                <w:sz w:val="16"/>
              </w:rPr>
              <w:t>des classes</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spacing w:before="5"/>
              <w:ind w:left="0"/>
              <w:rPr>
                <w:sz w:val="15"/>
              </w:rPr>
            </w:pPr>
          </w:p>
          <w:p>
            <w:pPr>
              <w:pStyle w:val="TableParagraph"/>
              <w:ind w:right="549"/>
              <w:rPr>
                <w:sz w:val="16"/>
              </w:rPr>
            </w:pPr>
            <w:r>
              <w:rPr>
                <w:sz w:val="16"/>
              </w:rPr>
              <w:t>Exclusif 2009</w:t>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spacing w:before="5"/>
              <w:ind w:left="0"/>
              <w:rPr>
                <w:sz w:val="15"/>
              </w:rPr>
            </w:pPr>
          </w:p>
          <w:p>
            <w:pPr>
              <w:pStyle w:val="TableParagraph"/>
              <w:ind w:right="86"/>
              <w:rPr>
                <w:sz w:val="16"/>
              </w:rPr>
            </w:pPr>
            <w:r>
              <w:rPr>
                <w:sz w:val="16"/>
              </w:rPr>
              <w:t>Commun 2009-2011</w:t>
            </w:r>
          </w:p>
        </w:tc>
        <w:tc>
          <w:tcPr>
            <w:tcW w:w="1150" w:type="dxa"/>
            <w:tcBorders>
              <w:top w:val="single" w:sz="4" w:space="0" w:color="000000"/>
              <w:left w:val="single" w:sz="4" w:space="0" w:color="000000"/>
              <w:bottom w:val="single" w:sz="4" w:space="0" w:color="000000"/>
              <w:right w:val="single" w:sz="2" w:space="0" w:color="000000"/>
            </w:tcBorders>
          </w:tcPr>
          <w:p>
            <w:pPr>
              <w:pStyle w:val="TableParagraph"/>
              <w:spacing w:before="5"/>
              <w:ind w:left="0"/>
              <w:rPr>
                <w:sz w:val="15"/>
              </w:rPr>
            </w:pPr>
          </w:p>
          <w:p>
            <w:pPr>
              <w:pStyle w:val="TableParagraph"/>
              <w:ind w:right="65"/>
              <w:rPr>
                <w:sz w:val="16"/>
              </w:rPr>
            </w:pPr>
            <w:r>
              <w:rPr>
                <w:sz w:val="16"/>
              </w:rPr>
              <w:t>Exclusif 2011</w:t>
            </w:r>
          </w:p>
        </w:tc>
      </w:tr>
      <w:tr>
        <w:trPr>
          <w:trHeight w:val="370" w:hRule="exact"/>
        </w:trPr>
        <w:tc>
          <w:tcPr>
            <w:tcW w:w="1226" w:type="dxa"/>
            <w:tcBorders>
              <w:top w:val="single" w:sz="4" w:space="0" w:color="000000"/>
              <w:left w:val="single" w:sz="2" w:space="0" w:color="000000"/>
              <w:bottom w:val="single" w:sz="4" w:space="0" w:color="000000"/>
              <w:right w:val="single" w:sz="4" w:space="0" w:color="000000"/>
            </w:tcBorders>
          </w:tcPr>
          <w:p>
            <w:pPr>
              <w:pStyle w:val="TableParagraph"/>
              <w:spacing w:before="83"/>
              <w:ind w:right="151"/>
              <w:rPr>
                <w:sz w:val="16"/>
              </w:rPr>
            </w:pPr>
            <w:r>
              <w:rPr>
                <w:sz w:val="16"/>
              </w:rPr>
              <w:t>Rang 1</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right="549"/>
              <w:rPr>
                <w:sz w:val="16"/>
              </w:rPr>
            </w:pPr>
            <w:r>
              <w:rPr>
                <w:w w:val="95"/>
                <w:sz w:val="16"/>
              </w:rPr>
              <w:t>Recherche </w:t>
            </w:r>
            <w:r>
              <w:rPr>
                <w:sz w:val="16"/>
              </w:rPr>
              <w:t>(23%)</w:t>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right="86"/>
              <w:rPr>
                <w:sz w:val="16"/>
              </w:rPr>
            </w:pPr>
            <w:r>
              <w:rPr>
                <w:w w:val="95"/>
                <w:sz w:val="16"/>
              </w:rPr>
              <w:t>Accueil/présentation </w:t>
            </w:r>
            <w:r>
              <w:rPr>
                <w:sz w:val="16"/>
              </w:rPr>
              <w:t>(13,36%)</w:t>
            </w:r>
          </w:p>
        </w:tc>
        <w:tc>
          <w:tcPr>
            <w:tcW w:w="1150" w:type="dxa"/>
            <w:tcBorders>
              <w:top w:val="single" w:sz="4" w:space="0" w:color="000000"/>
              <w:left w:val="single" w:sz="4" w:space="0" w:color="000000"/>
              <w:bottom w:val="single" w:sz="4" w:space="0" w:color="000000"/>
              <w:right w:val="single" w:sz="2" w:space="0" w:color="000000"/>
            </w:tcBorders>
          </w:tcPr>
          <w:p>
            <w:pPr>
              <w:pStyle w:val="TableParagraph"/>
              <w:spacing w:line="237" w:lineRule="auto"/>
              <w:ind w:right="357"/>
              <w:rPr>
                <w:sz w:val="16"/>
              </w:rPr>
            </w:pPr>
            <w:r>
              <w:rPr>
                <w:sz w:val="16"/>
              </w:rPr>
              <w:t>Formation (21%)</w:t>
            </w:r>
          </w:p>
        </w:tc>
      </w:tr>
      <w:tr>
        <w:trPr>
          <w:trHeight w:val="370" w:hRule="exact"/>
        </w:trPr>
        <w:tc>
          <w:tcPr>
            <w:tcW w:w="1226" w:type="dxa"/>
            <w:tcBorders>
              <w:top w:val="single" w:sz="4" w:space="0" w:color="000000"/>
              <w:left w:val="single" w:sz="2" w:space="0" w:color="000000"/>
              <w:bottom w:val="single" w:sz="4" w:space="0" w:color="000000"/>
              <w:right w:val="single" w:sz="4" w:space="0" w:color="000000"/>
            </w:tcBorders>
          </w:tcPr>
          <w:p>
            <w:pPr>
              <w:pStyle w:val="TableParagraph"/>
              <w:spacing w:before="83"/>
              <w:ind w:right="151"/>
              <w:rPr>
                <w:sz w:val="16"/>
              </w:rPr>
            </w:pPr>
            <w:r>
              <w:rPr>
                <w:sz w:val="16"/>
              </w:rPr>
              <w:t>Rang 2</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right="842"/>
              <w:rPr>
                <w:sz w:val="16"/>
              </w:rPr>
            </w:pPr>
            <w:r>
              <w:rPr>
                <w:sz w:val="16"/>
              </w:rPr>
              <w:t>Formation (18,7%)</w:t>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right="855"/>
              <w:rPr>
                <w:sz w:val="16"/>
              </w:rPr>
            </w:pPr>
            <w:r>
              <w:rPr>
                <w:sz w:val="16"/>
              </w:rPr>
              <w:t>Accès web (13%)</w:t>
            </w:r>
          </w:p>
        </w:tc>
        <w:tc>
          <w:tcPr>
            <w:tcW w:w="1150" w:type="dxa"/>
            <w:tcBorders>
              <w:top w:val="single" w:sz="4" w:space="0" w:color="000000"/>
              <w:left w:val="single" w:sz="4" w:space="0" w:color="000000"/>
              <w:bottom w:val="single" w:sz="4" w:space="0" w:color="000000"/>
              <w:right w:val="single" w:sz="2" w:space="0" w:color="000000"/>
            </w:tcBorders>
          </w:tcPr>
          <w:p>
            <w:pPr>
              <w:pStyle w:val="TableParagraph"/>
              <w:spacing w:line="237" w:lineRule="auto"/>
              <w:ind w:right="65"/>
              <w:rPr>
                <w:sz w:val="16"/>
              </w:rPr>
            </w:pPr>
            <w:r>
              <w:rPr>
                <w:w w:val="95"/>
                <w:sz w:val="16"/>
              </w:rPr>
              <w:t>Recherche </w:t>
            </w:r>
            <w:r>
              <w:rPr>
                <w:sz w:val="16"/>
              </w:rPr>
              <w:t>(17%)</w:t>
            </w:r>
          </w:p>
        </w:tc>
      </w:tr>
      <w:tr>
        <w:trPr>
          <w:trHeight w:val="552" w:hRule="exact"/>
        </w:trPr>
        <w:tc>
          <w:tcPr>
            <w:tcW w:w="1226" w:type="dxa"/>
            <w:tcBorders>
              <w:top w:val="single" w:sz="4" w:space="0" w:color="000000"/>
              <w:left w:val="single" w:sz="2" w:space="0" w:color="000000"/>
              <w:bottom w:val="single" w:sz="4" w:space="0" w:color="000000"/>
              <w:right w:val="single" w:sz="4" w:space="0" w:color="000000"/>
            </w:tcBorders>
          </w:tcPr>
          <w:p>
            <w:pPr>
              <w:pStyle w:val="TableParagraph"/>
              <w:spacing w:before="5"/>
              <w:ind w:left="0"/>
              <w:rPr>
                <w:sz w:val="15"/>
              </w:rPr>
            </w:pPr>
          </w:p>
          <w:p>
            <w:pPr>
              <w:pStyle w:val="TableParagraph"/>
              <w:ind w:right="151"/>
              <w:rPr>
                <w:sz w:val="16"/>
              </w:rPr>
            </w:pPr>
            <w:r>
              <w:rPr>
                <w:sz w:val="16"/>
              </w:rPr>
              <w:t>Rang 3</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right="147"/>
              <w:rPr>
                <w:sz w:val="16"/>
              </w:rPr>
            </w:pPr>
            <w:r>
              <w:rPr>
                <w:sz w:val="16"/>
              </w:rPr>
              <w:t>Ressources documentaires (9,6%)</w:t>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87"/>
              <w:ind w:right="855"/>
              <w:rPr>
                <w:sz w:val="16"/>
              </w:rPr>
            </w:pPr>
            <w:r>
              <w:rPr>
                <w:w w:val="95"/>
                <w:sz w:val="16"/>
              </w:rPr>
              <w:t>Recherche </w:t>
            </w:r>
            <w:r>
              <w:rPr>
                <w:sz w:val="16"/>
              </w:rPr>
              <w:t>(12%)</w:t>
            </w:r>
          </w:p>
        </w:tc>
        <w:tc>
          <w:tcPr>
            <w:tcW w:w="1150" w:type="dxa"/>
            <w:tcBorders>
              <w:top w:val="single" w:sz="4" w:space="0" w:color="000000"/>
              <w:left w:val="single" w:sz="4" w:space="0" w:color="000000"/>
              <w:bottom w:val="single" w:sz="4" w:space="0" w:color="000000"/>
              <w:right w:val="single" w:sz="2" w:space="0" w:color="000000"/>
            </w:tcBorders>
          </w:tcPr>
          <w:p>
            <w:pPr>
              <w:pStyle w:val="TableParagraph"/>
              <w:ind w:right="192"/>
              <w:rPr>
                <w:sz w:val="16"/>
              </w:rPr>
            </w:pPr>
            <w:r>
              <w:rPr>
                <w:w w:val="95"/>
                <w:sz w:val="16"/>
              </w:rPr>
              <w:t>Informations </w:t>
            </w:r>
            <w:r>
              <w:rPr>
                <w:sz w:val="16"/>
              </w:rPr>
              <w:t>pratiques (9%)</w:t>
            </w:r>
          </w:p>
        </w:tc>
      </w:tr>
      <w:tr>
        <w:trPr>
          <w:trHeight w:val="547" w:hRule="exact"/>
        </w:trPr>
        <w:tc>
          <w:tcPr>
            <w:tcW w:w="1226" w:type="dxa"/>
            <w:tcBorders>
              <w:top w:val="single" w:sz="4" w:space="0" w:color="000000"/>
              <w:left w:val="single" w:sz="2" w:space="0" w:color="000000"/>
              <w:bottom w:val="single" w:sz="4" w:space="0" w:color="000000"/>
              <w:right w:val="single" w:sz="4" w:space="0" w:color="000000"/>
            </w:tcBorders>
          </w:tcPr>
          <w:p>
            <w:pPr>
              <w:pStyle w:val="TableParagraph"/>
              <w:spacing w:before="5"/>
              <w:ind w:left="0"/>
              <w:rPr>
                <w:sz w:val="15"/>
              </w:rPr>
            </w:pPr>
          </w:p>
          <w:p>
            <w:pPr>
              <w:pStyle w:val="TableParagraph"/>
              <w:ind w:right="151"/>
              <w:rPr>
                <w:sz w:val="16"/>
              </w:rPr>
            </w:pPr>
            <w:r>
              <w:rPr>
                <w:sz w:val="16"/>
              </w:rPr>
              <w:t>Rang 4</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right="840"/>
              <w:rPr>
                <w:sz w:val="16"/>
              </w:rPr>
            </w:pPr>
            <w:r>
              <w:rPr>
                <w:sz w:val="16"/>
              </w:rPr>
              <w:t>Accès web (7,7%)</w:t>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83"/>
              <w:ind w:right="86"/>
              <w:rPr>
                <w:sz w:val="16"/>
              </w:rPr>
            </w:pPr>
            <w:r>
              <w:rPr>
                <w:sz w:val="16"/>
              </w:rPr>
              <w:t>Ressources documentaires (10,6%)</w:t>
            </w:r>
          </w:p>
        </w:tc>
        <w:tc>
          <w:tcPr>
            <w:tcW w:w="1150" w:type="dxa"/>
            <w:tcBorders>
              <w:top w:val="single" w:sz="4" w:space="0" w:color="000000"/>
              <w:left w:val="single" w:sz="4" w:space="0" w:color="000000"/>
              <w:bottom w:val="single" w:sz="4" w:space="0" w:color="000000"/>
              <w:right w:val="single" w:sz="2" w:space="0" w:color="000000"/>
            </w:tcBorders>
          </w:tcPr>
          <w:p>
            <w:pPr>
              <w:pStyle w:val="TableParagraph"/>
              <w:ind w:right="65"/>
              <w:rPr>
                <w:sz w:val="16"/>
              </w:rPr>
            </w:pPr>
            <w:r>
              <w:rPr>
                <w:sz w:val="16"/>
              </w:rPr>
              <w:t>Ressources </w:t>
            </w:r>
            <w:r>
              <w:rPr>
                <w:w w:val="95"/>
                <w:sz w:val="16"/>
              </w:rPr>
              <w:t>documentaires </w:t>
            </w:r>
            <w:r>
              <w:rPr>
                <w:sz w:val="16"/>
              </w:rPr>
              <w:t>(9%)</w:t>
            </w:r>
          </w:p>
        </w:tc>
      </w:tr>
      <w:tr>
        <w:trPr>
          <w:trHeight w:val="370" w:hRule="exact"/>
        </w:trPr>
        <w:tc>
          <w:tcPr>
            <w:tcW w:w="1226" w:type="dxa"/>
            <w:tcBorders>
              <w:top w:val="single" w:sz="4" w:space="0" w:color="000000"/>
              <w:left w:val="single" w:sz="2" w:space="0" w:color="000000"/>
              <w:bottom w:val="single" w:sz="4" w:space="0" w:color="000000"/>
              <w:right w:val="single" w:sz="4" w:space="0" w:color="000000"/>
            </w:tcBorders>
          </w:tcPr>
          <w:p>
            <w:pPr>
              <w:pStyle w:val="TableParagraph"/>
              <w:spacing w:before="83"/>
              <w:ind w:right="151"/>
              <w:rPr>
                <w:sz w:val="16"/>
              </w:rPr>
            </w:pPr>
            <w:r>
              <w:rPr>
                <w:sz w:val="16"/>
              </w:rPr>
              <w:t>Rang 5</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right="147"/>
              <w:rPr>
                <w:sz w:val="16"/>
              </w:rPr>
            </w:pPr>
            <w:r>
              <w:rPr>
                <w:w w:val="95"/>
                <w:sz w:val="16"/>
              </w:rPr>
              <w:t>Accueil/présentation </w:t>
            </w:r>
            <w:r>
              <w:rPr>
                <w:sz w:val="16"/>
              </w:rPr>
              <w:t>(5,3%)</w:t>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right="855"/>
              <w:rPr>
                <w:sz w:val="16"/>
              </w:rPr>
            </w:pPr>
            <w:r>
              <w:rPr>
                <w:w w:val="95"/>
                <w:sz w:val="16"/>
              </w:rPr>
              <w:t>Formation </w:t>
            </w:r>
            <w:r>
              <w:rPr>
                <w:sz w:val="16"/>
              </w:rPr>
              <w:t>(8%)</w:t>
            </w:r>
          </w:p>
        </w:tc>
        <w:tc>
          <w:tcPr>
            <w:tcW w:w="1150" w:type="dxa"/>
            <w:tcBorders>
              <w:top w:val="single" w:sz="4" w:space="0" w:color="000000"/>
              <w:left w:val="single" w:sz="4" w:space="0" w:color="000000"/>
              <w:bottom w:val="single" w:sz="4" w:space="0" w:color="000000"/>
              <w:right w:val="single" w:sz="2" w:space="0" w:color="000000"/>
            </w:tcBorders>
          </w:tcPr>
          <w:p>
            <w:pPr>
              <w:pStyle w:val="TableParagraph"/>
              <w:spacing w:line="242" w:lineRule="auto"/>
              <w:ind w:right="355"/>
              <w:rPr>
                <w:sz w:val="16"/>
              </w:rPr>
            </w:pPr>
            <w:r>
              <w:rPr>
                <w:sz w:val="16"/>
              </w:rPr>
              <w:t>Accès web (8%)</w:t>
            </w:r>
          </w:p>
        </w:tc>
      </w:tr>
      <w:tr>
        <w:trPr>
          <w:trHeight w:val="552" w:hRule="exact"/>
        </w:trPr>
        <w:tc>
          <w:tcPr>
            <w:tcW w:w="1226" w:type="dxa"/>
            <w:tcBorders>
              <w:top w:val="single" w:sz="4" w:space="0" w:color="000000"/>
              <w:left w:val="single" w:sz="2" w:space="0" w:color="000000"/>
              <w:bottom w:val="single" w:sz="4" w:space="0" w:color="000000"/>
              <w:right w:val="single" w:sz="4" w:space="0" w:color="000000"/>
            </w:tcBorders>
          </w:tcPr>
          <w:p>
            <w:pPr>
              <w:pStyle w:val="TableParagraph"/>
              <w:tabs>
                <w:tab w:pos="973" w:val="left" w:leader="none"/>
              </w:tabs>
              <w:spacing w:line="177" w:lineRule="exact"/>
              <w:rPr>
                <w:sz w:val="16"/>
              </w:rPr>
            </w:pPr>
            <w:r>
              <w:rPr>
                <w:sz w:val="16"/>
              </w:rPr>
              <w:t>%</w:t>
              <w:tab/>
              <w:t>de</w:t>
            </w:r>
          </w:p>
          <w:p>
            <w:pPr>
              <w:pStyle w:val="TableParagraph"/>
              <w:spacing w:line="237" w:lineRule="auto" w:before="3"/>
              <w:ind w:left="145" w:right="151" w:hanging="40"/>
              <w:rPr>
                <w:sz w:val="16"/>
              </w:rPr>
            </w:pPr>
            <w:r>
              <w:rPr>
                <w:w w:val="95"/>
                <w:sz w:val="16"/>
              </w:rPr>
              <w:t>représentation </w:t>
            </w:r>
            <w:r>
              <w:rPr>
                <w:sz w:val="16"/>
              </w:rPr>
              <w:t>des 5 classes</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ind w:right="549"/>
              <w:rPr>
                <w:sz w:val="16"/>
              </w:rPr>
            </w:pPr>
            <w:r>
              <w:rPr>
                <w:sz w:val="16"/>
              </w:rPr>
              <w:t>64 %</w:t>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spacing w:before="5"/>
              <w:ind w:left="0"/>
              <w:rPr>
                <w:sz w:val="15"/>
              </w:rPr>
            </w:pPr>
          </w:p>
          <w:p>
            <w:pPr>
              <w:pStyle w:val="TableParagraph"/>
              <w:ind w:right="86"/>
              <w:rPr>
                <w:sz w:val="16"/>
              </w:rPr>
            </w:pPr>
            <w:r>
              <w:rPr>
                <w:sz w:val="16"/>
              </w:rPr>
              <w:t>57 %</w:t>
            </w:r>
          </w:p>
        </w:tc>
        <w:tc>
          <w:tcPr>
            <w:tcW w:w="1150" w:type="dxa"/>
            <w:tcBorders>
              <w:top w:val="single" w:sz="4" w:space="0" w:color="000000"/>
              <w:left w:val="single" w:sz="4" w:space="0" w:color="000000"/>
              <w:bottom w:val="single" w:sz="4" w:space="0" w:color="000000"/>
              <w:right w:val="single" w:sz="2" w:space="0" w:color="000000"/>
            </w:tcBorders>
          </w:tcPr>
          <w:p>
            <w:pPr>
              <w:pStyle w:val="TableParagraph"/>
              <w:spacing w:before="5"/>
              <w:ind w:left="0"/>
              <w:rPr>
                <w:sz w:val="15"/>
              </w:rPr>
            </w:pPr>
          </w:p>
          <w:p>
            <w:pPr>
              <w:pStyle w:val="TableParagraph"/>
              <w:ind w:right="65"/>
              <w:rPr>
                <w:sz w:val="16"/>
              </w:rPr>
            </w:pPr>
            <w:r>
              <w:rPr>
                <w:sz w:val="16"/>
              </w:rPr>
              <w:t>62 %</w:t>
            </w:r>
          </w:p>
        </w:tc>
      </w:tr>
    </w:tbl>
    <w:p>
      <w:pPr>
        <w:pStyle w:val="BodyText"/>
        <w:spacing w:before="3"/>
        <w:rPr>
          <w:sz w:val="12"/>
        </w:rPr>
      </w:pPr>
    </w:p>
    <w:p>
      <w:pPr>
        <w:spacing w:before="84"/>
        <w:ind w:left="440" w:right="0" w:firstLine="0"/>
        <w:jc w:val="both"/>
        <w:rPr>
          <w:i/>
          <w:sz w:val="16"/>
        </w:rPr>
      </w:pPr>
      <w:r>
        <w:rPr>
          <w:i/>
          <w:sz w:val="16"/>
        </w:rPr>
        <w:t>Tableau 7 : Poids des 5 classes les plus représentées dans la taxonomie en 2009 et 2011</w:t>
      </w:r>
    </w:p>
    <w:p>
      <w:pPr>
        <w:pStyle w:val="BodyText"/>
        <w:spacing w:before="5"/>
        <w:rPr>
          <w:i/>
          <w:sz w:val="20"/>
        </w:rPr>
      </w:pPr>
    </w:p>
    <w:p>
      <w:pPr>
        <w:pStyle w:val="BodyText"/>
        <w:spacing w:line="252" w:lineRule="auto" w:before="1"/>
        <w:ind w:left="440" w:right="442"/>
        <w:jc w:val="both"/>
      </w:pPr>
      <w:r>
        <w:rPr>
          <w:w w:val="105"/>
        </w:rPr>
        <w:t>Afin d’observer plus précisément la hiérarchisation de ces 5 classes dans les corpus (exclusifs 2009 et 2011, commun 2009-2011), une carte cognitive30 a été réalisée. L’intérêt de cette carte est de faire apparaître visuellement à la fois les classes les plus fortement représentées et l’évolution de leur positionnement dans le temps. Les classes Formation et Recherche restent prédominantes sur les corpus exclusifs. Par contre, dans le corpus commun, ce sont les classes Accueil / Présentation et Accès web qui sont majoritairement représentées, ce qui illustre bien la stabilité des termes présents dans ces classes. Enfin, on relèvera présence croissante dans le corpus exclusif 2011 de la classe Informations pratiques, ce qui pourrait indiquer un changement dans les pratiques de diffusion d’informations (passage du papier au numérique).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r>
        <w:rPr/>
        <w:pict>
          <v:line style="position:absolute;mso-position-horizontal-relative:page;mso-position-vertical-relative:paragraph;z-index:1120;mso-wrap-distance-left:0;mso-wrap-distance-right:0" from="85.039368pt,17.815365pt" to="229.039368pt,17.815365pt" stroked="true" strokeweight=".479996pt" strokecolor="#000000">
            <w10:wrap type="topAndBottom"/>
          </v:line>
        </w:pict>
      </w:r>
    </w:p>
    <w:p>
      <w:pPr>
        <w:spacing w:before="82"/>
        <w:ind w:left="440" w:right="1527" w:firstLine="0"/>
        <w:jc w:val="left"/>
        <w:rPr>
          <w:sz w:val="16"/>
        </w:rPr>
      </w:pPr>
      <w:r>
        <w:rPr>
          <w:position w:val="4"/>
          <w:sz w:val="9"/>
        </w:rPr>
        <w:t>30  </w:t>
      </w:r>
      <w:r>
        <w:rPr>
          <w:sz w:val="16"/>
        </w:rPr>
        <w:t>Réalisées avec le logiciel XMind</w:t>
      </w:r>
    </w:p>
    <w:p>
      <w:pPr>
        <w:spacing w:after="0"/>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4" w:after="1"/>
        <w:rPr>
          <w:sz w:val="20"/>
        </w:rPr>
      </w:pPr>
    </w:p>
    <w:p>
      <w:pPr>
        <w:pStyle w:val="BodyText"/>
        <w:ind w:left="482"/>
        <w:rPr>
          <w:sz w:val="20"/>
        </w:rPr>
      </w:pPr>
      <w:r>
        <w:rPr>
          <w:sz w:val="20"/>
        </w:rPr>
        <w:drawing>
          <wp:inline distT="0" distB="0" distL="0" distR="0">
            <wp:extent cx="3605527" cy="2552985"/>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3605527" cy="2552985"/>
                    </a:xfrm>
                    <a:prstGeom prst="rect">
                      <a:avLst/>
                    </a:prstGeom>
                  </pic:spPr>
                </pic:pic>
              </a:graphicData>
            </a:graphic>
          </wp:inline>
        </w:drawing>
      </w:r>
      <w:r>
        <w:rPr>
          <w:sz w:val="20"/>
        </w:rPr>
      </w:r>
    </w:p>
    <w:p>
      <w:pPr>
        <w:pStyle w:val="BodyText"/>
        <w:spacing w:before="9"/>
        <w:rPr>
          <w:sz w:val="8"/>
        </w:rPr>
      </w:pPr>
    </w:p>
    <w:p>
      <w:pPr>
        <w:spacing w:before="84"/>
        <w:ind w:left="440" w:right="0" w:firstLine="0"/>
        <w:jc w:val="both"/>
        <w:rPr>
          <w:i/>
          <w:sz w:val="16"/>
        </w:rPr>
      </w:pPr>
      <w:r>
        <w:rPr>
          <w:i/>
          <w:sz w:val="16"/>
        </w:rPr>
        <w:t>Figure 1 : Carte cognitive de la taxonomie en fonction des 3 corpus</w:t>
      </w:r>
    </w:p>
    <w:p>
      <w:pPr>
        <w:pStyle w:val="BodyText"/>
        <w:rPr>
          <w:i/>
          <w:sz w:val="16"/>
        </w:rPr>
      </w:pPr>
    </w:p>
    <w:p>
      <w:pPr>
        <w:pStyle w:val="BodyText"/>
        <w:rPr>
          <w:i/>
          <w:sz w:val="16"/>
        </w:rPr>
      </w:pPr>
    </w:p>
    <w:p>
      <w:pPr>
        <w:pStyle w:val="Heading1"/>
        <w:spacing w:before="101"/>
      </w:pPr>
      <w:r>
        <w:rPr>
          <w:w w:val="105"/>
        </w:rPr>
        <w:t>Conclusion</w:t>
      </w:r>
    </w:p>
    <w:p>
      <w:pPr>
        <w:pStyle w:val="BodyText"/>
        <w:spacing w:before="7"/>
        <w:rPr>
          <w:b/>
          <w:sz w:val="20"/>
        </w:rPr>
      </w:pPr>
    </w:p>
    <w:p>
      <w:pPr>
        <w:pStyle w:val="BodyText"/>
        <w:spacing w:line="252" w:lineRule="auto"/>
        <w:ind w:left="440" w:right="441"/>
        <w:jc w:val="both"/>
      </w:pPr>
      <w:r>
        <w:rPr>
          <w:w w:val="105"/>
        </w:rPr>
        <w:t>Ces travaux ouvrent donc des perspectives de recherches intéressantes   en terme d’analyse des contenus numériques. En l’occurrence, le fait d’observer, à travers le prisme de cette taxonomie, deux corpus de sites web appartenant au même domaine organisationnel permet tout d’abord de mettre en évidence des grands mouvements d’ensemble au plan des choix terminologiques. Ainsi, les deux images (en 2009 et 2011) de la taxonomie gardent les mêmes proportions, avec une relative stabilité des poids des classes informationnelles et des catégories sur les deux années. Les tests montrent une convergence (dans des temporalités courtes) de la gamme des ULH utilisées et de surcroît une normalisation de leur forme. Cela concerne essentiellement les classes de la navigation thématique. On voit notamment un ancrage temporel fort pour ces</w:t>
      </w:r>
      <w:r>
        <w:rPr>
          <w:spacing w:val="49"/>
          <w:w w:val="105"/>
        </w:rPr>
        <w:t> </w:t>
      </w:r>
      <w:r>
        <w:rPr>
          <w:w w:val="105"/>
        </w:rPr>
        <w:t>classes,</w:t>
      </w:r>
      <w:r>
        <w:rPr>
          <w:spacing w:val="49"/>
          <w:w w:val="105"/>
        </w:rPr>
        <w:t> </w:t>
      </w:r>
      <w:r>
        <w:rPr>
          <w:w w:val="105"/>
        </w:rPr>
        <w:t>et notamment pour la partie Activités. D’autres classes semblent moins dépendantes à cette dimension temporelle, notamment  les</w:t>
      </w:r>
      <w:r>
        <w:rPr>
          <w:spacing w:val="49"/>
          <w:w w:val="105"/>
        </w:rPr>
        <w:t> </w:t>
      </w:r>
      <w:r>
        <w:rPr>
          <w:w w:val="105"/>
        </w:rPr>
        <w:t>classes Accueil / Présentation et Accès web, avec des ULH de marquage énonciatif plus pérennes. Ces tendances émergentes constatées ici seront à confirmer dans le temps, en observant le même corpus de sites web à échéance de deux</w:t>
      </w:r>
      <w:r>
        <w:rPr>
          <w:spacing w:val="-5"/>
          <w:w w:val="105"/>
        </w:rPr>
        <w:t> </w:t>
      </w:r>
      <w:r>
        <w:rPr>
          <w:w w:val="105"/>
        </w:rPr>
        <w:t>ans.</w:t>
      </w:r>
    </w:p>
    <w:p>
      <w:pPr>
        <w:pStyle w:val="BodyText"/>
        <w:spacing w:line="254" w:lineRule="auto" w:before="1"/>
        <w:ind w:left="440" w:right="444"/>
        <w:jc w:val="both"/>
      </w:pPr>
      <w:r>
        <w:rPr>
          <w:w w:val="105"/>
        </w:rPr>
        <w:t>Cette approche permettra aussi d’apporter des éléments d’information</w:t>
      </w:r>
      <w:r>
        <w:rPr>
          <w:spacing w:val="49"/>
          <w:w w:val="105"/>
        </w:rPr>
        <w:t> </w:t>
      </w:r>
      <w:r>
        <w:rPr>
          <w:w w:val="105"/>
        </w:rPr>
        <w:t>sur l’évolution des thématiques et des priorités, en accord avec les changements</w:t>
      </w:r>
      <w:r>
        <w:rPr>
          <w:spacing w:val="28"/>
          <w:w w:val="105"/>
        </w:rPr>
        <w:t> </w:t>
      </w:r>
      <w:r>
        <w:rPr>
          <w:w w:val="105"/>
        </w:rPr>
        <w:t>organisationnels.</w:t>
      </w:r>
      <w:r>
        <w:rPr>
          <w:spacing w:val="27"/>
          <w:w w:val="105"/>
        </w:rPr>
        <w:t> </w:t>
      </w:r>
      <w:r>
        <w:rPr>
          <w:w w:val="105"/>
        </w:rPr>
        <w:t>Cela</w:t>
      </w:r>
      <w:r>
        <w:rPr>
          <w:spacing w:val="28"/>
          <w:w w:val="105"/>
        </w:rPr>
        <w:t> </w:t>
      </w:r>
      <w:r>
        <w:rPr>
          <w:w w:val="105"/>
        </w:rPr>
        <w:t>suppose</w:t>
      </w:r>
      <w:r>
        <w:rPr>
          <w:spacing w:val="28"/>
          <w:w w:val="105"/>
        </w:rPr>
        <w:t> </w:t>
      </w:r>
      <w:r>
        <w:rPr>
          <w:w w:val="105"/>
        </w:rPr>
        <w:t>de</w:t>
      </w:r>
      <w:r>
        <w:rPr>
          <w:spacing w:val="28"/>
          <w:w w:val="105"/>
        </w:rPr>
        <w:t> </w:t>
      </w:r>
      <w:r>
        <w:rPr>
          <w:w w:val="105"/>
        </w:rPr>
        <w:t>descendre</w:t>
      </w:r>
      <w:r>
        <w:rPr>
          <w:spacing w:val="28"/>
          <w:w w:val="105"/>
        </w:rPr>
        <w:t> </w:t>
      </w:r>
      <w:r>
        <w:rPr>
          <w:w w:val="105"/>
        </w:rPr>
        <w:t>à</w:t>
      </w:r>
      <w:r>
        <w:rPr>
          <w:spacing w:val="28"/>
          <w:w w:val="105"/>
        </w:rPr>
        <w:t> </w:t>
      </w:r>
      <w:r>
        <w:rPr>
          <w:w w:val="105"/>
        </w:rPr>
        <w:t>un</w:t>
      </w:r>
      <w:r>
        <w:rPr>
          <w:spacing w:val="28"/>
          <w:w w:val="105"/>
        </w:rPr>
        <w:t> </w:t>
      </w:r>
      <w:r>
        <w:rPr>
          <w:w w:val="105"/>
        </w:rPr>
        <w:t>niveau</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micro pour étudier les évolutions terminologiques à l’intérieur des classes informationnelles, tout en les situant par rapport au contexte organisationnel concerné, en l’occurrence l’université. Dans cette optique, il serait également intéressant d’intégrer la dimension sémiotique des pages d’accueil pour enrichir les dimensions d’analyse.</w:t>
      </w:r>
    </w:p>
    <w:p>
      <w:pPr>
        <w:pStyle w:val="BodyText"/>
        <w:spacing w:line="252" w:lineRule="auto"/>
        <w:ind w:left="440" w:right="442"/>
        <w:jc w:val="both"/>
      </w:pPr>
      <w:r>
        <w:rPr>
          <w:w w:val="105"/>
        </w:rPr>
        <w:t>Au plan synchronique, d’autres perspectives sont à creuser, notamment en terme de consolidation de la taxonomie, par inclusion des termes de spécialités et traitement des ULH ambiguës. Même si le pouvoir de recouvrement de la taxonomie actuelle est satisfaisant, dans la  perspective d’une alimentation automatique de la taxonomie (Rastier et al., 1994, Tellier, 2009), il est nécessaire d’améliorer la structure de la taxonomie. In fine, ces travaux nous permettront, à l’aide d’une typologie de sites web appuyée sur des secteurs d’activités (collectivités</w:t>
      </w:r>
      <w:r>
        <w:rPr>
          <w:spacing w:val="49"/>
          <w:w w:val="105"/>
        </w:rPr>
        <w:t> </w:t>
      </w:r>
      <w:r>
        <w:rPr>
          <w:w w:val="105"/>
        </w:rPr>
        <w:t>territoriales, santé), de transposer cette approche pour des applications à d’autres domaines (Reymond, Pinède,</w:t>
      </w:r>
      <w:r>
        <w:rPr>
          <w:spacing w:val="-12"/>
          <w:w w:val="105"/>
        </w:rPr>
        <w:t> </w:t>
      </w:r>
      <w:r>
        <w:rPr>
          <w:w w:val="105"/>
        </w:rPr>
        <w:t>2010b).</w:t>
      </w:r>
    </w:p>
    <w:p>
      <w:pPr>
        <w:pStyle w:val="BodyText"/>
        <w:spacing w:line="252" w:lineRule="auto"/>
        <w:ind w:left="440" w:right="441"/>
        <w:jc w:val="both"/>
      </w:pPr>
      <w:r>
        <w:rPr>
          <w:w w:val="105"/>
        </w:rPr>
        <w:t>La démarche déployée ici, incluant la dimension temporelle, offre</w:t>
      </w:r>
      <w:r>
        <w:rPr>
          <w:spacing w:val="49"/>
          <w:w w:val="105"/>
        </w:rPr>
        <w:t> </w:t>
      </w:r>
      <w:r>
        <w:rPr>
          <w:w w:val="105"/>
        </w:rPr>
        <w:t>l’intérêt de proposer un angle d’analyse inédit du site web et de voir les permanences et renouvellements à travers l’image saisie de deux corpus d’ULH. Au prisme de la comparaison de ces deux corpus, l’évolution des marqueurs lexicaux –signes et traces-, tant au plan quantitatif que qualitatif, témoigne des changements, que ceux-ci se situent aux niveaux sémantique, informationnel ou encore strictement langagier. Ils témoignent aussi des inflexions de pratiques, en matière de</w:t>
      </w:r>
      <w:r>
        <w:rPr>
          <w:spacing w:val="49"/>
          <w:w w:val="105"/>
        </w:rPr>
        <w:t> </w:t>
      </w:r>
      <w:r>
        <w:rPr>
          <w:w w:val="105"/>
        </w:rPr>
        <w:t>représentation de l’information sur le web, ainsi que de l’évolution des contextes, d’organisation ou d’usage. C’est à l’intersection, aux interstices de ces différentes sphères que s’inscrit la production de sens pour ce document numérique particulier qu’est le site</w:t>
      </w:r>
      <w:r>
        <w:rPr>
          <w:spacing w:val="-14"/>
          <w:w w:val="105"/>
        </w:rPr>
        <w:t> </w:t>
      </w:r>
      <w:r>
        <w:rPr>
          <w:w w:val="105"/>
        </w:rPr>
        <w:t>web.</w:t>
      </w:r>
    </w:p>
    <w:p>
      <w:pPr>
        <w:pStyle w:val="BodyText"/>
        <w:rPr>
          <w:sz w:val="20"/>
        </w:rPr>
      </w:pPr>
    </w:p>
    <w:p>
      <w:pPr>
        <w:pStyle w:val="BodyText"/>
        <w:spacing w:before="2"/>
        <w:rPr>
          <w:sz w:val="20"/>
        </w:rPr>
      </w:pPr>
    </w:p>
    <w:p>
      <w:pPr>
        <w:pStyle w:val="Heading1"/>
      </w:pPr>
      <w:r>
        <w:rPr>
          <w:w w:val="105"/>
        </w:rPr>
        <w:t>Bibliographie</w:t>
      </w:r>
    </w:p>
    <w:p>
      <w:pPr>
        <w:pStyle w:val="BodyText"/>
        <w:spacing w:before="10"/>
        <w:rPr>
          <w:b/>
          <w:sz w:val="20"/>
        </w:rPr>
      </w:pPr>
    </w:p>
    <w:p>
      <w:pPr>
        <w:spacing w:before="0"/>
        <w:ind w:left="440" w:right="0" w:firstLine="0"/>
        <w:jc w:val="both"/>
        <w:rPr>
          <w:sz w:val="17"/>
        </w:rPr>
      </w:pPr>
      <w:r>
        <w:rPr>
          <w:w w:val="105"/>
          <w:sz w:val="17"/>
        </w:rPr>
        <w:t>DRESSEN-HAMMOUDA  D.,  DROT-DELANGE  B.  (2009).  « Expertise  et</w:t>
      </w:r>
    </w:p>
    <w:p>
      <w:pPr>
        <w:spacing w:line="252" w:lineRule="auto" w:before="15"/>
        <w:ind w:left="440" w:right="441" w:firstLine="0"/>
        <w:jc w:val="both"/>
        <w:rPr>
          <w:sz w:val="17"/>
        </w:rPr>
      </w:pPr>
      <w:r>
        <w:rPr>
          <w:w w:val="105"/>
          <w:sz w:val="17"/>
        </w:rPr>
        <w:t>maîtrise des structures informationnelles : le cas de la documentation professionnelle en ligne pour les concepteurs web », Colloque «Evolutions technologiques et information professionnelle », organisé par le GRESEC, Université Stendhal Grenoble III, 10-11 décembre 2009.</w:t>
      </w:r>
    </w:p>
    <w:p>
      <w:pPr>
        <w:spacing w:line="259" w:lineRule="auto" w:before="0"/>
        <w:ind w:left="440" w:right="443" w:firstLine="0"/>
        <w:jc w:val="both"/>
        <w:rPr>
          <w:sz w:val="17"/>
        </w:rPr>
      </w:pPr>
      <w:r>
        <w:rPr>
          <w:w w:val="105"/>
          <w:sz w:val="17"/>
        </w:rPr>
        <w:t>JEANNERET, Y. (2007). </w:t>
      </w:r>
      <w:r>
        <w:rPr>
          <w:i/>
          <w:w w:val="105"/>
          <w:sz w:val="17"/>
        </w:rPr>
        <w:t>Y a-t-il (vraiment) des technologies de l’information ? </w:t>
      </w:r>
      <w:r>
        <w:rPr>
          <w:w w:val="105"/>
          <w:sz w:val="17"/>
        </w:rPr>
        <w:t>Lille, Presses universitaires du Septentrion.</w:t>
      </w:r>
    </w:p>
    <w:p>
      <w:pPr>
        <w:spacing w:line="254" w:lineRule="auto" w:before="0"/>
        <w:ind w:left="440" w:right="443" w:firstLine="0"/>
        <w:jc w:val="left"/>
        <w:rPr>
          <w:sz w:val="17"/>
        </w:rPr>
      </w:pPr>
      <w:r>
        <w:rPr>
          <w:w w:val="105"/>
          <w:sz w:val="17"/>
        </w:rPr>
        <w:t>LAINE-CRUZEL S. (2009). Documents, ressources, données : les avatars de l'information numérique. </w:t>
      </w:r>
      <w:r>
        <w:rPr>
          <w:i/>
          <w:w w:val="105"/>
          <w:sz w:val="17"/>
        </w:rPr>
        <w:t>Information-Interaction-Intelligence</w:t>
      </w:r>
      <w:r>
        <w:rPr>
          <w:w w:val="105"/>
          <w:sz w:val="17"/>
        </w:rPr>
        <w:t>, vol. 4, n°1, p 105-119. LELEU-MERVIEL S. (2004). Effets de la numérisation et de la mise en réseau sur le concept de document. </w:t>
      </w:r>
      <w:r>
        <w:rPr>
          <w:i/>
          <w:w w:val="105"/>
          <w:sz w:val="17"/>
        </w:rPr>
        <w:t>Information-Interaction-Intelligence</w:t>
      </w:r>
      <w:r>
        <w:rPr>
          <w:w w:val="105"/>
          <w:sz w:val="17"/>
        </w:rPr>
        <w:t>, vol. 4, n°1, p. 121- 140.</w:t>
      </w:r>
    </w:p>
    <w:p>
      <w:pPr>
        <w:spacing w:line="252" w:lineRule="auto" w:before="0"/>
        <w:ind w:left="440" w:right="442" w:firstLine="0"/>
        <w:jc w:val="both"/>
        <w:rPr>
          <w:sz w:val="17"/>
        </w:rPr>
      </w:pPr>
      <w:r>
        <w:rPr>
          <w:w w:val="105"/>
          <w:sz w:val="17"/>
        </w:rPr>
        <w:t>MUSSO P. (2009). « Critique de la notion de « territoire numérique ». Les dilemmes de l’économie numérique, sous la direction de Laurent Gille, Limoges, FYP Éditions (collection Innovation), p. 168-175.</w:t>
      </w:r>
    </w:p>
    <w:p>
      <w:pPr>
        <w:spacing w:after="0" w:line="252" w:lineRule="auto"/>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line="254" w:lineRule="auto" w:before="0"/>
        <w:ind w:left="440" w:right="489" w:firstLine="0"/>
        <w:jc w:val="left"/>
        <w:rPr>
          <w:sz w:val="17"/>
        </w:rPr>
      </w:pPr>
      <w:r>
        <w:rPr>
          <w:w w:val="105"/>
          <w:sz w:val="17"/>
        </w:rPr>
        <w:t>NIELSEN J., TAHIR M. (2002). </w:t>
      </w:r>
      <w:r>
        <w:rPr>
          <w:i/>
          <w:w w:val="105"/>
          <w:sz w:val="17"/>
        </w:rPr>
        <w:t>L’art de la page d’accueil</w:t>
      </w:r>
      <w:r>
        <w:rPr>
          <w:w w:val="105"/>
          <w:sz w:val="17"/>
        </w:rPr>
        <w:t>. Paris, Eyrolles, 2002. PINEDE N., Reymond D. (2010). De la diversité au lissage informationnel : création d’une taxonomie inductive pour les sites web universitaires. 17e congrès de la SFSIC: au cœur et à la lisière des SIC, Dijon 23-26 juin 2010.</w:t>
      </w:r>
    </w:p>
    <w:p>
      <w:pPr>
        <w:spacing w:line="252" w:lineRule="auto" w:before="0"/>
        <w:ind w:left="440" w:right="444" w:firstLine="0"/>
        <w:jc w:val="both"/>
        <w:rPr>
          <w:sz w:val="17"/>
        </w:rPr>
      </w:pPr>
      <w:r>
        <w:rPr>
          <w:w w:val="105"/>
          <w:sz w:val="17"/>
        </w:rPr>
        <w:t>RASTIER, F. CAVAZZA, M, ABEILLE, A. (1994). Sémantique pour l’analyse : de la linguistique à l’informatique, Paris, Masson.</w:t>
      </w:r>
    </w:p>
    <w:p>
      <w:pPr>
        <w:spacing w:before="0"/>
        <w:ind w:left="440" w:right="0" w:firstLine="0"/>
        <w:jc w:val="both"/>
        <w:rPr>
          <w:sz w:val="17"/>
        </w:rPr>
      </w:pPr>
      <w:r>
        <w:rPr>
          <w:w w:val="105"/>
          <w:sz w:val="17"/>
        </w:rPr>
        <w:t>REYMOND D., PINEDE N., LESPINET-NAJIB V., LE BLANC B. (2011).</w:t>
      </w:r>
    </w:p>
    <w:p>
      <w:pPr>
        <w:spacing w:line="252" w:lineRule="auto" w:before="15"/>
        <w:ind w:left="440" w:right="445" w:firstLine="0"/>
        <w:jc w:val="both"/>
        <w:rPr>
          <w:sz w:val="17"/>
        </w:rPr>
      </w:pPr>
      <w:r>
        <w:rPr>
          <w:w w:val="105"/>
          <w:sz w:val="17"/>
        </w:rPr>
        <w:t>“Une étude terminologique de la communication hypertexte web. Application au domaine universitaire.” 9</w:t>
      </w:r>
      <w:r>
        <w:rPr>
          <w:w w:val="105"/>
          <w:position w:val="4"/>
          <w:sz w:val="12"/>
        </w:rPr>
        <w:t>th </w:t>
      </w:r>
      <w:r>
        <w:rPr>
          <w:w w:val="105"/>
          <w:sz w:val="17"/>
        </w:rPr>
        <w:t>international conference on terminolgy and articial intelligence. Paris, 8-10 novembre.</w:t>
      </w:r>
    </w:p>
    <w:p>
      <w:pPr>
        <w:spacing w:line="254" w:lineRule="auto" w:before="0"/>
        <w:ind w:left="440" w:right="443" w:firstLine="0"/>
        <w:jc w:val="both"/>
        <w:rPr>
          <w:sz w:val="17"/>
        </w:rPr>
      </w:pPr>
      <w:r>
        <w:rPr>
          <w:w w:val="105"/>
          <w:sz w:val="17"/>
        </w:rPr>
        <w:t>REYMOND D., PINÈDE N. (2010a) “Using a taxonomy based fingerprint: classification and recognition of the academic webspace”. </w:t>
      </w:r>
      <w:r>
        <w:rPr>
          <w:i/>
          <w:w w:val="105"/>
          <w:sz w:val="17"/>
        </w:rPr>
        <w:t>Proceedings of the Sixth </w:t>
      </w:r>
      <w:r>
        <w:rPr>
          <w:i/>
          <w:w w:val="105"/>
          <w:sz w:val="17"/>
        </w:rPr>
        <w:t>International Conference on Webometrics, Informetrics and Scientometrics (WIS) &amp; Eleventh COLLNET Meeting</w:t>
      </w:r>
      <w:r>
        <w:rPr>
          <w:w w:val="105"/>
          <w:sz w:val="17"/>
        </w:rPr>
        <w:t>, Mysore, India, 2010.</w:t>
      </w:r>
    </w:p>
    <w:p>
      <w:pPr>
        <w:spacing w:line="254" w:lineRule="auto" w:before="0"/>
        <w:ind w:left="440" w:right="443" w:firstLine="0"/>
        <w:jc w:val="both"/>
        <w:rPr>
          <w:sz w:val="17"/>
        </w:rPr>
      </w:pPr>
      <w:r>
        <w:rPr>
          <w:w w:val="105"/>
          <w:sz w:val="17"/>
        </w:rPr>
        <w:t>REYMOND D., PINÈDE N. (2010b) “Website and communication strategy alignment: a librarian science approach to webometrics tools”. </w:t>
      </w:r>
      <w:r>
        <w:rPr>
          <w:i/>
          <w:w w:val="105"/>
          <w:sz w:val="17"/>
        </w:rPr>
        <w:t>Proceedings of the </w:t>
      </w:r>
      <w:r>
        <w:rPr>
          <w:i/>
          <w:w w:val="105"/>
          <w:sz w:val="17"/>
        </w:rPr>
        <w:t>Sixth International Conference on Webometrics, Informetrics and Scientometrics (WIS) &amp; Eleventh COLLNET Meeting</w:t>
      </w:r>
      <w:r>
        <w:rPr>
          <w:w w:val="105"/>
          <w:sz w:val="17"/>
        </w:rPr>
        <w:t>, Mysore, India, 2010.</w:t>
      </w:r>
    </w:p>
    <w:p>
      <w:pPr>
        <w:spacing w:line="252" w:lineRule="auto" w:before="0"/>
        <w:ind w:left="440" w:right="443" w:firstLine="0"/>
        <w:jc w:val="both"/>
        <w:rPr>
          <w:sz w:val="17"/>
        </w:rPr>
      </w:pPr>
      <w:r>
        <w:rPr>
          <w:w w:val="105"/>
          <w:sz w:val="17"/>
        </w:rPr>
        <w:t>REYMOND D., PINEDE N. (2010c). “Améliorer la “lecture” du web. Synthèse informationnelle des interfaces web”. Communication aux journées d’études TICIS, Paris, 13-15 décembre.</w:t>
      </w:r>
    </w:p>
    <w:p>
      <w:pPr>
        <w:spacing w:line="252" w:lineRule="auto" w:before="0"/>
        <w:ind w:left="440" w:right="443" w:firstLine="0"/>
        <w:jc w:val="both"/>
        <w:rPr>
          <w:sz w:val="17"/>
        </w:rPr>
      </w:pPr>
      <w:r>
        <w:rPr>
          <w:w w:val="105"/>
          <w:sz w:val="17"/>
        </w:rPr>
        <w:t>ROUQUETTE S. (2009). L’anayse des sites internet. Une radiographe du cyberspace. Bruxelles, de Boeck , 2009.</w:t>
      </w:r>
    </w:p>
    <w:p>
      <w:pPr>
        <w:spacing w:before="5"/>
        <w:ind w:left="440" w:right="0" w:firstLine="0"/>
        <w:jc w:val="both"/>
        <w:rPr>
          <w:i/>
          <w:sz w:val="17"/>
        </w:rPr>
      </w:pPr>
      <w:r>
        <w:rPr>
          <w:w w:val="105"/>
          <w:sz w:val="17"/>
        </w:rPr>
        <w:t>SOUCHIER E., JEANNERET Y. et LE MAREC J. (2003). (dir.). </w:t>
      </w:r>
      <w:r>
        <w:rPr>
          <w:i/>
          <w:w w:val="105"/>
          <w:sz w:val="17"/>
        </w:rPr>
        <w:t>Lire, écrire,</w:t>
      </w:r>
    </w:p>
    <w:p>
      <w:pPr>
        <w:spacing w:line="252" w:lineRule="auto" w:before="10"/>
        <w:ind w:left="440" w:right="489" w:firstLine="0"/>
        <w:jc w:val="left"/>
        <w:rPr>
          <w:sz w:val="17"/>
        </w:rPr>
      </w:pPr>
      <w:r>
        <w:rPr>
          <w:i/>
          <w:w w:val="105"/>
          <w:sz w:val="17"/>
        </w:rPr>
        <w:t>récrire. Objets, signes et pratiques des médias informatisés</w:t>
      </w:r>
      <w:r>
        <w:rPr>
          <w:w w:val="105"/>
          <w:sz w:val="17"/>
        </w:rPr>
        <w:t>, Paris, BPI, 2003, 335 p. STOCKINGER P. (2005). </w:t>
      </w:r>
      <w:r>
        <w:rPr>
          <w:i/>
          <w:w w:val="105"/>
          <w:sz w:val="17"/>
        </w:rPr>
        <w:t>Les sites Web. Conception, description, évaluation</w:t>
      </w:r>
      <w:r>
        <w:rPr>
          <w:w w:val="105"/>
          <w:sz w:val="17"/>
        </w:rPr>
        <w:t>. Paris, Hermès- Lavoisier, 2005, 270 p.</w:t>
      </w:r>
    </w:p>
    <w:p>
      <w:pPr>
        <w:spacing w:before="0"/>
        <w:ind w:left="440" w:right="0" w:firstLine="0"/>
        <w:jc w:val="both"/>
        <w:rPr>
          <w:sz w:val="17"/>
        </w:rPr>
      </w:pPr>
      <w:r>
        <w:rPr>
          <w:w w:val="105"/>
          <w:sz w:val="17"/>
        </w:rPr>
        <w:t>TELLIER  I.  (2009).  « Apprentissage  automatique  pour  le  TAL  :    Préface »,</w:t>
      </w:r>
    </w:p>
    <w:p>
      <w:pPr>
        <w:spacing w:before="15"/>
        <w:ind w:left="440" w:right="0" w:firstLine="0"/>
        <w:jc w:val="both"/>
        <w:rPr>
          <w:sz w:val="17"/>
        </w:rPr>
      </w:pPr>
      <w:r>
        <w:rPr>
          <w:i/>
          <w:w w:val="105"/>
          <w:sz w:val="17"/>
        </w:rPr>
        <w:t>Traitement Automatique des Langues </w:t>
      </w:r>
      <w:r>
        <w:rPr>
          <w:w w:val="105"/>
          <w:sz w:val="17"/>
        </w:rPr>
        <w:t>50, 3, p.7-21.</w:t>
      </w:r>
    </w:p>
    <w:p>
      <w:pPr>
        <w:spacing w:line="252" w:lineRule="auto" w:before="10"/>
        <w:ind w:left="440" w:right="445" w:firstLine="0"/>
        <w:jc w:val="both"/>
        <w:rPr>
          <w:sz w:val="17"/>
        </w:rPr>
      </w:pPr>
      <w:r>
        <w:rPr>
          <w:w w:val="105"/>
          <w:sz w:val="17"/>
        </w:rPr>
        <w:t>THATCHER A. (2008). « Web search strategies: The influence of Web  experience and task type », Information Processing and Management, vol. 44,  n°3, p.</w:t>
      </w:r>
      <w:r>
        <w:rPr>
          <w:spacing w:val="6"/>
          <w:w w:val="105"/>
          <w:sz w:val="17"/>
        </w:rPr>
        <w:t> </w:t>
      </w:r>
      <w:r>
        <w:rPr>
          <w:w w:val="105"/>
          <w:sz w:val="17"/>
        </w:rPr>
        <w:t>1308-1329.</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5.039398pt;margin-top:621.039185pt;width:15.3pt;height:9.950pt;mso-position-horizontal-relative:page;mso-position-vertical-relative:page;z-index:-32800"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135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368pt;margin-top:621.039185pt;width:15.3pt;height:9.950pt;mso-position-horizontal-relative:page;mso-position-vertical-relative:page;z-index:-32776"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136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32752"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3.324501pt;margin-top:42.159191pt;width:226.65pt;height:9.950pt;mso-position-horizontal-relative:page;mso-position-vertical-relative:page;z-index:-32728" type="#_x0000_t202" filled="false" stroked="false">
          <v:textbox inset="0,0,0,0">
            <w:txbxContent>
              <w:p>
                <w:pPr>
                  <w:spacing w:before="3"/>
                  <w:ind w:left="20" w:right="-1" w:firstLine="0"/>
                  <w:jc w:val="left"/>
                  <w:rPr>
                    <w:b/>
                    <w:sz w:val="16"/>
                  </w:rPr>
                </w:pPr>
                <w:r>
                  <w:rPr>
                    <w:b/>
                    <w:sz w:val="16"/>
                  </w:rPr>
                  <w:t>Terminologie hypertexte : dynamique temporelle d’une taxonomie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bullet"/>
      <w:lvlText w:val="-"/>
      <w:lvlJc w:val="left"/>
      <w:pPr>
        <w:ind w:left="440" w:hanging="138"/>
      </w:pPr>
      <w:rPr>
        <w:rFonts w:hint="default" w:ascii="Garamond" w:hAnsi="Garamond" w:eastAsia="Garamond" w:cs="Garamond"/>
        <w:w w:val="103"/>
        <w:sz w:val="19"/>
        <w:szCs w:val="19"/>
      </w:rPr>
    </w:lvl>
    <w:lvl w:ilvl="1">
      <w:start w:val="1"/>
      <w:numFmt w:val="bullet"/>
      <w:lvlText w:val="•"/>
      <w:lvlJc w:val="left"/>
      <w:pPr>
        <w:ind w:left="1051" w:hanging="138"/>
      </w:pPr>
      <w:rPr>
        <w:rFonts w:hint="default"/>
      </w:rPr>
    </w:lvl>
    <w:lvl w:ilvl="2">
      <w:start w:val="1"/>
      <w:numFmt w:val="bullet"/>
      <w:lvlText w:val="•"/>
      <w:lvlJc w:val="left"/>
      <w:pPr>
        <w:ind w:left="1662" w:hanging="138"/>
      </w:pPr>
      <w:rPr>
        <w:rFonts w:hint="default"/>
      </w:rPr>
    </w:lvl>
    <w:lvl w:ilvl="3">
      <w:start w:val="1"/>
      <w:numFmt w:val="bullet"/>
      <w:lvlText w:val="•"/>
      <w:lvlJc w:val="left"/>
      <w:pPr>
        <w:ind w:left="2273" w:hanging="138"/>
      </w:pPr>
      <w:rPr>
        <w:rFonts w:hint="default"/>
      </w:rPr>
    </w:lvl>
    <w:lvl w:ilvl="4">
      <w:start w:val="1"/>
      <w:numFmt w:val="bullet"/>
      <w:lvlText w:val="•"/>
      <w:lvlJc w:val="left"/>
      <w:pPr>
        <w:ind w:left="2884" w:hanging="138"/>
      </w:pPr>
      <w:rPr>
        <w:rFonts w:hint="default"/>
      </w:rPr>
    </w:lvl>
    <w:lvl w:ilvl="5">
      <w:start w:val="1"/>
      <w:numFmt w:val="bullet"/>
      <w:lvlText w:val="•"/>
      <w:lvlJc w:val="left"/>
      <w:pPr>
        <w:ind w:left="3495" w:hanging="138"/>
      </w:pPr>
      <w:rPr>
        <w:rFonts w:hint="default"/>
      </w:rPr>
    </w:lvl>
    <w:lvl w:ilvl="6">
      <w:start w:val="1"/>
      <w:numFmt w:val="bullet"/>
      <w:lvlText w:val="•"/>
      <w:lvlJc w:val="left"/>
      <w:pPr>
        <w:ind w:left="4106" w:hanging="138"/>
      </w:pPr>
      <w:rPr>
        <w:rFonts w:hint="default"/>
      </w:rPr>
    </w:lvl>
    <w:lvl w:ilvl="7">
      <w:start w:val="1"/>
      <w:numFmt w:val="bullet"/>
      <w:lvlText w:val="•"/>
      <w:lvlJc w:val="left"/>
      <w:pPr>
        <w:ind w:left="4717" w:hanging="138"/>
      </w:pPr>
      <w:rPr>
        <w:rFonts w:hint="default"/>
      </w:rPr>
    </w:lvl>
    <w:lvl w:ilvl="8">
      <w:start w:val="1"/>
      <w:numFmt w:val="bullet"/>
      <w:lvlText w:val="•"/>
      <w:lvlJc w:val="left"/>
      <w:pPr>
        <w:ind w:left="5328" w:hanging="138"/>
      </w:pPr>
      <w:rPr>
        <w:rFonts w:hint="default"/>
      </w:rPr>
    </w:lvl>
  </w:abstractNum>
  <w:abstractNum w:abstractNumId="2">
    <w:multiLevelType w:val="hybridMultilevel"/>
    <w:lvl w:ilvl="0">
      <w:start w:val="1"/>
      <w:numFmt w:val="bullet"/>
      <w:lvlText w:val="-"/>
      <w:lvlJc w:val="left"/>
      <w:pPr>
        <w:ind w:left="440" w:hanging="125"/>
      </w:pPr>
      <w:rPr>
        <w:rFonts w:hint="default" w:ascii="Garamond" w:hAnsi="Garamond" w:eastAsia="Garamond" w:cs="Garamond"/>
        <w:w w:val="103"/>
        <w:sz w:val="19"/>
        <w:szCs w:val="19"/>
      </w:rPr>
    </w:lvl>
    <w:lvl w:ilvl="1">
      <w:start w:val="1"/>
      <w:numFmt w:val="bullet"/>
      <w:lvlText w:val="•"/>
      <w:lvlJc w:val="left"/>
      <w:pPr>
        <w:ind w:left="1051" w:hanging="125"/>
      </w:pPr>
      <w:rPr>
        <w:rFonts w:hint="default"/>
      </w:rPr>
    </w:lvl>
    <w:lvl w:ilvl="2">
      <w:start w:val="1"/>
      <w:numFmt w:val="bullet"/>
      <w:lvlText w:val="•"/>
      <w:lvlJc w:val="left"/>
      <w:pPr>
        <w:ind w:left="1662" w:hanging="125"/>
      </w:pPr>
      <w:rPr>
        <w:rFonts w:hint="default"/>
      </w:rPr>
    </w:lvl>
    <w:lvl w:ilvl="3">
      <w:start w:val="1"/>
      <w:numFmt w:val="bullet"/>
      <w:lvlText w:val="•"/>
      <w:lvlJc w:val="left"/>
      <w:pPr>
        <w:ind w:left="2273" w:hanging="125"/>
      </w:pPr>
      <w:rPr>
        <w:rFonts w:hint="default"/>
      </w:rPr>
    </w:lvl>
    <w:lvl w:ilvl="4">
      <w:start w:val="1"/>
      <w:numFmt w:val="bullet"/>
      <w:lvlText w:val="•"/>
      <w:lvlJc w:val="left"/>
      <w:pPr>
        <w:ind w:left="2884" w:hanging="125"/>
      </w:pPr>
      <w:rPr>
        <w:rFonts w:hint="default"/>
      </w:rPr>
    </w:lvl>
    <w:lvl w:ilvl="5">
      <w:start w:val="1"/>
      <w:numFmt w:val="bullet"/>
      <w:lvlText w:val="•"/>
      <w:lvlJc w:val="left"/>
      <w:pPr>
        <w:ind w:left="3495" w:hanging="125"/>
      </w:pPr>
      <w:rPr>
        <w:rFonts w:hint="default"/>
      </w:rPr>
    </w:lvl>
    <w:lvl w:ilvl="6">
      <w:start w:val="1"/>
      <w:numFmt w:val="bullet"/>
      <w:lvlText w:val="•"/>
      <w:lvlJc w:val="left"/>
      <w:pPr>
        <w:ind w:left="4106" w:hanging="125"/>
      </w:pPr>
      <w:rPr>
        <w:rFonts w:hint="default"/>
      </w:rPr>
    </w:lvl>
    <w:lvl w:ilvl="7">
      <w:start w:val="1"/>
      <w:numFmt w:val="bullet"/>
      <w:lvlText w:val="•"/>
      <w:lvlJc w:val="left"/>
      <w:pPr>
        <w:ind w:left="4717" w:hanging="125"/>
      </w:pPr>
      <w:rPr>
        <w:rFonts w:hint="default"/>
      </w:rPr>
    </w:lvl>
    <w:lvl w:ilvl="8">
      <w:start w:val="1"/>
      <w:numFmt w:val="bullet"/>
      <w:lvlText w:val="•"/>
      <w:lvlJc w:val="left"/>
      <w:pPr>
        <w:ind w:left="5328" w:hanging="125"/>
      </w:pPr>
      <w:rPr>
        <w:rFonts w:hint="default"/>
      </w:rPr>
    </w:lvl>
  </w:abstractNum>
  <w:abstractNum w:abstractNumId="1">
    <w:multiLevelType w:val="hybridMultilevel"/>
    <w:lvl w:ilvl="0">
      <w:start w:val="1"/>
      <w:numFmt w:val="bullet"/>
      <w:lvlText w:val="-"/>
      <w:lvlJc w:val="left"/>
      <w:pPr>
        <w:ind w:left="440" w:hanging="174"/>
      </w:pPr>
      <w:rPr>
        <w:rFonts w:hint="default" w:ascii="Garamond" w:hAnsi="Garamond" w:eastAsia="Garamond" w:cs="Garamond"/>
        <w:w w:val="103"/>
        <w:sz w:val="19"/>
        <w:szCs w:val="19"/>
      </w:rPr>
    </w:lvl>
    <w:lvl w:ilvl="1">
      <w:start w:val="1"/>
      <w:numFmt w:val="bullet"/>
      <w:lvlText w:val="•"/>
      <w:lvlJc w:val="left"/>
      <w:pPr>
        <w:ind w:left="1051" w:hanging="174"/>
      </w:pPr>
      <w:rPr>
        <w:rFonts w:hint="default"/>
      </w:rPr>
    </w:lvl>
    <w:lvl w:ilvl="2">
      <w:start w:val="1"/>
      <w:numFmt w:val="bullet"/>
      <w:lvlText w:val="•"/>
      <w:lvlJc w:val="left"/>
      <w:pPr>
        <w:ind w:left="1662" w:hanging="174"/>
      </w:pPr>
      <w:rPr>
        <w:rFonts w:hint="default"/>
      </w:rPr>
    </w:lvl>
    <w:lvl w:ilvl="3">
      <w:start w:val="1"/>
      <w:numFmt w:val="bullet"/>
      <w:lvlText w:val="•"/>
      <w:lvlJc w:val="left"/>
      <w:pPr>
        <w:ind w:left="2273" w:hanging="174"/>
      </w:pPr>
      <w:rPr>
        <w:rFonts w:hint="default"/>
      </w:rPr>
    </w:lvl>
    <w:lvl w:ilvl="4">
      <w:start w:val="1"/>
      <w:numFmt w:val="bullet"/>
      <w:lvlText w:val="•"/>
      <w:lvlJc w:val="left"/>
      <w:pPr>
        <w:ind w:left="2884" w:hanging="174"/>
      </w:pPr>
      <w:rPr>
        <w:rFonts w:hint="default"/>
      </w:rPr>
    </w:lvl>
    <w:lvl w:ilvl="5">
      <w:start w:val="1"/>
      <w:numFmt w:val="bullet"/>
      <w:lvlText w:val="•"/>
      <w:lvlJc w:val="left"/>
      <w:pPr>
        <w:ind w:left="3495" w:hanging="174"/>
      </w:pPr>
      <w:rPr>
        <w:rFonts w:hint="default"/>
      </w:rPr>
    </w:lvl>
    <w:lvl w:ilvl="6">
      <w:start w:val="1"/>
      <w:numFmt w:val="bullet"/>
      <w:lvlText w:val="•"/>
      <w:lvlJc w:val="left"/>
      <w:pPr>
        <w:ind w:left="4106" w:hanging="174"/>
      </w:pPr>
      <w:rPr>
        <w:rFonts w:hint="default"/>
      </w:rPr>
    </w:lvl>
    <w:lvl w:ilvl="7">
      <w:start w:val="1"/>
      <w:numFmt w:val="bullet"/>
      <w:lvlText w:val="•"/>
      <w:lvlJc w:val="left"/>
      <w:pPr>
        <w:ind w:left="4717" w:hanging="174"/>
      </w:pPr>
      <w:rPr>
        <w:rFonts w:hint="default"/>
      </w:rPr>
    </w:lvl>
    <w:lvl w:ilvl="8">
      <w:start w:val="1"/>
      <w:numFmt w:val="bullet"/>
      <w:lvlText w:val="•"/>
      <w:lvlJc w:val="left"/>
      <w:pPr>
        <w:ind w:left="5328" w:hanging="174"/>
      </w:pPr>
      <w:rPr>
        <w:rFonts w:hint="default"/>
      </w:rPr>
    </w:lvl>
  </w:abstractNum>
  <w:abstractNum w:abstractNumId="0">
    <w:multiLevelType w:val="hybridMultilevel"/>
    <w:lvl w:ilvl="0">
      <w:start w:val="1"/>
      <w:numFmt w:val="decimal"/>
      <w:lvlText w:val="%1."/>
      <w:lvlJc w:val="left"/>
      <w:pPr>
        <w:ind w:left="672" w:hanging="232"/>
        <w:jc w:val="left"/>
      </w:pPr>
      <w:rPr>
        <w:rFonts w:hint="default" w:ascii="Garamond" w:hAnsi="Garamond" w:eastAsia="Garamond" w:cs="Garamond"/>
        <w:b/>
        <w:bCs/>
        <w:spacing w:val="0"/>
        <w:w w:val="103"/>
        <w:sz w:val="19"/>
        <w:szCs w:val="19"/>
      </w:rPr>
    </w:lvl>
    <w:lvl w:ilvl="1">
      <w:start w:val="1"/>
      <w:numFmt w:val="decimal"/>
      <w:lvlText w:val="%1.%2."/>
      <w:lvlJc w:val="left"/>
      <w:pPr>
        <w:ind w:left="440" w:hanging="328"/>
        <w:jc w:val="left"/>
      </w:pPr>
      <w:rPr>
        <w:rFonts w:hint="default" w:ascii="Garamond" w:hAnsi="Garamond" w:eastAsia="Garamond" w:cs="Garamond"/>
        <w:b/>
        <w:bCs/>
        <w:spacing w:val="0"/>
        <w:w w:val="103"/>
        <w:sz w:val="19"/>
        <w:szCs w:val="19"/>
      </w:rPr>
    </w:lvl>
    <w:lvl w:ilvl="2">
      <w:start w:val="1"/>
      <w:numFmt w:val="bullet"/>
      <w:lvlText w:val="•"/>
      <w:lvlJc w:val="left"/>
      <w:pPr>
        <w:ind w:left="760" w:hanging="328"/>
      </w:pPr>
      <w:rPr>
        <w:rFonts w:hint="default"/>
      </w:rPr>
    </w:lvl>
    <w:lvl w:ilvl="3">
      <w:start w:val="1"/>
      <w:numFmt w:val="bullet"/>
      <w:lvlText w:val="•"/>
      <w:lvlJc w:val="left"/>
      <w:pPr>
        <w:ind w:left="860" w:hanging="328"/>
      </w:pPr>
      <w:rPr>
        <w:rFonts w:hint="default"/>
      </w:rPr>
    </w:lvl>
    <w:lvl w:ilvl="4">
      <w:start w:val="1"/>
      <w:numFmt w:val="bullet"/>
      <w:lvlText w:val="•"/>
      <w:lvlJc w:val="left"/>
      <w:pPr>
        <w:ind w:left="900" w:hanging="328"/>
      </w:pPr>
      <w:rPr>
        <w:rFonts w:hint="default"/>
      </w:rPr>
    </w:lvl>
    <w:lvl w:ilvl="5">
      <w:start w:val="1"/>
      <w:numFmt w:val="bullet"/>
      <w:lvlText w:val="•"/>
      <w:lvlJc w:val="left"/>
      <w:pPr>
        <w:ind w:left="1841" w:hanging="328"/>
      </w:pPr>
      <w:rPr>
        <w:rFonts w:hint="default"/>
      </w:rPr>
    </w:lvl>
    <w:lvl w:ilvl="6">
      <w:start w:val="1"/>
      <w:numFmt w:val="bullet"/>
      <w:lvlText w:val="•"/>
      <w:lvlJc w:val="left"/>
      <w:pPr>
        <w:ind w:left="2783" w:hanging="328"/>
      </w:pPr>
      <w:rPr>
        <w:rFonts w:hint="default"/>
      </w:rPr>
    </w:lvl>
    <w:lvl w:ilvl="7">
      <w:start w:val="1"/>
      <w:numFmt w:val="bullet"/>
      <w:lvlText w:val="•"/>
      <w:lvlJc w:val="left"/>
      <w:pPr>
        <w:ind w:left="3725" w:hanging="328"/>
      </w:pPr>
      <w:rPr>
        <w:rFonts w:hint="default"/>
      </w:rPr>
    </w:lvl>
    <w:lvl w:ilvl="8">
      <w:start w:val="1"/>
      <w:numFmt w:val="bullet"/>
      <w:lvlText w:val="•"/>
      <w:lvlJc w:val="left"/>
      <w:pPr>
        <w:ind w:left="4667" w:hanging="328"/>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jc w:val="both"/>
    </w:pPr>
    <w:rPr>
      <w:rFonts w:ascii="Garamond" w:hAnsi="Garamond" w:eastAsia="Garamond" w:cs="Garamond"/>
    </w:rPr>
  </w:style>
  <w:style w:styleId="TableParagraph" w:type="paragraph">
    <w:name w:val="Table Paragraph"/>
    <w:basedOn w:val="Normal"/>
    <w:uiPriority w:val="1"/>
    <w:qFormat/>
    <w:pPr>
      <w:ind w:left="105"/>
    </w:pPr>
    <w:rPr>
      <w:rFonts w:ascii="Garamond" w:hAnsi="Garamond" w:eastAsia="Garamond" w:cs="Garamon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2016-06-06T14:27:36Z</dcterms:created>
  <dcterms:modified xsi:type="dcterms:W3CDTF">2016-06-06T14:27:36Z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